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  <w:t>2022年泰州市机器人大赛</w:t>
      </w:r>
    </w:p>
    <w:p>
      <w:pPr>
        <w:pStyle w:val="4"/>
        <w:spacing w:before="7"/>
        <w:ind w:left="0" w:right="447" w:rightChars="213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A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类：双足人形机器人或多足仿生类机器人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现场任务模型位置摆放要求</w:t>
      </w:r>
    </w:p>
    <w:p>
      <w:pPr>
        <w:pStyle w:val="2"/>
        <w:rPr>
          <w:rFonts w:hint="eastAsia"/>
          <w:lang w:val="en-US" w:eastAsia="zh-CN"/>
        </w:rPr>
      </w:pP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红、绿、蓝三种颜色各1个，小学组完成1个色块搬运，初中组完成2个色块搬运，高中组完成3个色块搬运。</w:t>
      </w: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4319905" cy="2476500"/>
            <wp:effectExtent l="7303" t="0" r="0" b="0"/>
            <wp:docPr id="8" name="图片 8" descr="尺寸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尺寸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1990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小学组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方块摆放区：</w:t>
      </w:r>
      <w:r>
        <w:rPr>
          <w:rFonts w:hint="eastAsia" w:ascii="仿宋" w:hAnsi="仿宋" w:eastAsia="仿宋" w:cs="仿宋"/>
          <w:color w:val="FF0000"/>
          <w:sz w:val="24"/>
          <w:szCs w:val="24"/>
        </w:rPr>
        <w:t>10选1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829"/>
        <w:gridCol w:w="829"/>
        <w:gridCol w:w="829"/>
        <w:gridCol w:w="830"/>
        <w:gridCol w:w="830"/>
        <w:gridCol w:w="830"/>
        <w:gridCol w:w="830"/>
        <w:gridCol w:w="830"/>
        <w:gridCol w:w="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</w:rPr>
              <w:t>绿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堆叠区:</w:t>
      </w:r>
      <w:r>
        <w:rPr>
          <w:rFonts w:hint="eastAsia" w:ascii="仿宋" w:hAnsi="仿宋" w:eastAsia="仿宋" w:cs="仿宋"/>
          <w:color w:val="FF0000"/>
          <w:sz w:val="24"/>
          <w:szCs w:val="24"/>
        </w:rPr>
        <w:t>3选1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</w:rPr>
              <w:t>绿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初中组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方块摆放区：</w:t>
      </w:r>
      <w:r>
        <w:rPr>
          <w:rFonts w:hint="eastAsia" w:ascii="仿宋" w:hAnsi="仿宋" w:eastAsia="仿宋" w:cs="仿宋"/>
          <w:color w:val="FF0000"/>
          <w:sz w:val="24"/>
          <w:szCs w:val="24"/>
        </w:rPr>
        <w:t>10选2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829"/>
        <w:gridCol w:w="829"/>
        <w:gridCol w:w="829"/>
        <w:gridCol w:w="830"/>
        <w:gridCol w:w="830"/>
        <w:gridCol w:w="830"/>
        <w:gridCol w:w="830"/>
        <w:gridCol w:w="830"/>
        <w:gridCol w:w="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  <w:t>红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</w:rPr>
              <w:t>绿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堆叠区：</w:t>
      </w:r>
      <w:r>
        <w:rPr>
          <w:rFonts w:hint="eastAsia" w:ascii="仿宋" w:hAnsi="仿宋" w:eastAsia="仿宋" w:cs="仿宋"/>
          <w:color w:val="FF0000"/>
          <w:sz w:val="24"/>
          <w:szCs w:val="24"/>
        </w:rPr>
        <w:t>3选1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  <w:t>红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色、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</w:rPr>
              <w:t>绿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高中组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方块摆放区：</w:t>
      </w:r>
      <w:r>
        <w:rPr>
          <w:rFonts w:hint="eastAsia" w:ascii="仿宋" w:hAnsi="仿宋" w:eastAsia="仿宋" w:cs="仿宋"/>
          <w:color w:val="FF0000"/>
          <w:sz w:val="24"/>
          <w:szCs w:val="24"/>
        </w:rPr>
        <w:t>10选3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829"/>
        <w:gridCol w:w="829"/>
        <w:gridCol w:w="829"/>
        <w:gridCol w:w="830"/>
        <w:gridCol w:w="830"/>
        <w:gridCol w:w="830"/>
        <w:gridCol w:w="830"/>
        <w:gridCol w:w="830"/>
        <w:gridCol w:w="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829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83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  <w:t>红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29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</w:rPr>
              <w:t>绿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color w:val="0070C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70C0"/>
                <w:sz w:val="24"/>
                <w:szCs w:val="24"/>
              </w:rPr>
              <w:t>蓝</w:t>
            </w:r>
            <w:r>
              <w:rPr>
                <w:rFonts w:hint="eastAsia" w:ascii="仿宋" w:hAnsi="仿宋" w:eastAsia="仿宋" w:cs="仿宋"/>
                <w:color w:val="0070C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30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堆叠区：</w:t>
      </w:r>
      <w:r>
        <w:rPr>
          <w:rFonts w:hint="eastAsia" w:ascii="仿宋" w:hAnsi="仿宋" w:eastAsia="仿宋" w:cs="仿宋"/>
          <w:color w:val="FF0000"/>
          <w:sz w:val="24"/>
          <w:szCs w:val="24"/>
        </w:rPr>
        <w:t>3选1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</w:rPr>
              <w:t>绿</w:t>
            </w:r>
            <w:r>
              <w:rPr>
                <w:rFonts w:hint="eastAsia" w:ascii="仿宋" w:hAnsi="仿宋" w:eastAsia="仿宋" w:cs="仿宋"/>
                <w:color w:val="00B050"/>
                <w:sz w:val="24"/>
                <w:szCs w:val="24"/>
                <w:lang w:val="en-US" w:eastAsia="zh-CN"/>
              </w:rPr>
              <w:t>色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  <w:t>红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色、</w:t>
            </w:r>
            <w:r>
              <w:rPr>
                <w:rFonts w:hint="eastAsia" w:ascii="仿宋" w:hAnsi="仿宋" w:eastAsia="仿宋" w:cs="仿宋"/>
                <w:color w:val="0070C0"/>
                <w:sz w:val="24"/>
                <w:szCs w:val="24"/>
              </w:rPr>
              <w:t>蓝</w:t>
            </w:r>
            <w:r>
              <w:rPr>
                <w:rFonts w:hint="eastAsia" w:ascii="仿宋" w:hAnsi="仿宋" w:eastAsia="仿宋" w:cs="仿宋"/>
                <w:color w:val="0070C0"/>
                <w:sz w:val="24"/>
                <w:szCs w:val="24"/>
                <w:lang w:val="en-US" w:eastAsia="zh-CN"/>
              </w:rPr>
              <w:t>色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</w:tr>
    </w:tbl>
    <w:p>
      <w:pPr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  <w:rPr>
          <w:rFonts w:ascii="方正大黑简体" w:eastAsia="方正大黑简体"/>
          <w:sz w:val="40"/>
        </w:rPr>
      </w:pPr>
    </w:p>
    <w:p>
      <w:pPr>
        <w:rPr>
          <w:rFonts w:ascii="方正大黑简体" w:eastAsia="方正大黑简体"/>
          <w:sz w:val="40"/>
        </w:rPr>
      </w:pPr>
    </w:p>
    <w:p>
      <w:pPr>
        <w:pStyle w:val="2"/>
      </w:pPr>
    </w:p>
    <w:p>
      <w:pPr>
        <w:pStyle w:val="2"/>
        <w:rPr>
          <w:rFonts w:ascii="方正大黑简体" w:eastAsia="方正大黑简体"/>
          <w:sz w:val="40"/>
        </w:rPr>
      </w:pPr>
    </w:p>
    <w:p/>
    <w:p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  <w:t>2022年泰州市机器人大赛</w:t>
      </w:r>
    </w:p>
    <w:p>
      <w:pPr>
        <w:pStyle w:val="4"/>
        <w:spacing w:before="7"/>
        <w:ind w:left="0" w:right="447" w:rightChars="213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B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类：轮式或履带式行走机器人</w:t>
      </w:r>
    </w:p>
    <w:p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color w:val="FF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现场任务模型位置摆放要求</w:t>
      </w:r>
    </w:p>
    <w:p>
      <w:pPr>
        <w:rPr>
          <w:rFonts w:ascii="方正大标宋简体" w:eastAsia="方正大标宋简体"/>
          <w:sz w:val="28"/>
        </w:rPr>
      </w:pP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小学组：方块3种颜色（红、蓝、绿）每种各2个，共6个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初中组：方块3种颜色（红、蓝、绿）每种各3个，共9个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高中组：方块3种颜色（红、蓝、绿）每种各4个，共12个</w:t>
      </w: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小学组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放置区</w:t>
      </w:r>
      <w:r>
        <w:rPr>
          <w:rFonts w:hint="eastAsia" w:ascii="仿宋" w:hAnsi="仿宋" w:eastAsia="仿宋" w:cs="仿宋"/>
          <w:sz w:val="24"/>
          <w:szCs w:val="24"/>
        </w:rPr>
        <w:t>方块摆放位置：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1、2、3、4、5、6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每个位置对应的方块颜色：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691"/>
        <w:gridCol w:w="691"/>
        <w:gridCol w:w="691"/>
        <w:gridCol w:w="691"/>
        <w:gridCol w:w="691"/>
        <w:gridCol w:w="691"/>
        <w:gridCol w:w="691"/>
        <w:gridCol w:w="692"/>
        <w:gridCol w:w="692"/>
        <w:gridCol w:w="692"/>
        <w:gridCol w:w="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1" w:type="dxa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FF0000"/>
                <w:szCs w:val="24"/>
                <w:lang w:val="en-US" w:eastAsia="zh-CN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1" w:type="dxa"/>
            <w:vAlign w:val="top"/>
          </w:tcPr>
          <w:p>
            <w:pPr>
              <w:bidi w:val="0"/>
              <w:jc w:val="center"/>
              <w:rPr>
                <w:rFonts w:hint="default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Cs w:val="24"/>
                <w:lang w:val="en-US" w:eastAsia="zh-CN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1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1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2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2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2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92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堆放</w:t>
      </w:r>
      <w:r>
        <w:rPr>
          <w:rFonts w:hint="eastAsia" w:ascii="仿宋" w:hAnsi="仿宋" w:eastAsia="仿宋" w:cs="仿宋"/>
          <w:sz w:val="24"/>
          <w:szCs w:val="24"/>
        </w:rPr>
        <w:t>区：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</w:tr>
    </w:tbl>
    <w:p>
      <w:pPr>
        <w:jc w:val="center"/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初中组</w:t>
      </w:r>
    </w:p>
    <w:p>
      <w:pPr>
        <w:numPr>
          <w:ilvl w:val="0"/>
          <w:numId w:val="2"/>
        </w:numP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方块摆放位置：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4、5、6、7、8、9、10、11、12</w:t>
      </w:r>
      <w:bookmarkStart w:id="0" w:name="_GoBack"/>
      <w:bookmarkEnd w:id="0"/>
    </w:p>
    <w:p>
      <w:pPr>
        <w:numPr>
          <w:numId w:val="0"/>
        </w:num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2、每个位置对应的方块颜色：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691"/>
        <w:gridCol w:w="691"/>
        <w:gridCol w:w="691"/>
        <w:gridCol w:w="691"/>
        <w:gridCol w:w="691"/>
        <w:gridCol w:w="691"/>
        <w:gridCol w:w="691"/>
        <w:gridCol w:w="692"/>
        <w:gridCol w:w="692"/>
        <w:gridCol w:w="692"/>
        <w:gridCol w:w="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>
            <w:pP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691" w:type="dxa"/>
          </w:tcPr>
          <w:p>
            <w:pP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691" w:type="dxa"/>
          </w:tcPr>
          <w:p>
            <w:pP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1" w:type="dxa"/>
          </w:tcPr>
          <w:p>
            <w:pP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2" w:type="dxa"/>
            <w:vAlign w:val="top"/>
          </w:tcPr>
          <w:p>
            <w:pPr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2" w:type="dxa"/>
            <w:vAlign w:val="top"/>
          </w:tcPr>
          <w:p>
            <w:pPr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堆放</w:t>
      </w:r>
      <w:r>
        <w:rPr>
          <w:rFonts w:hint="eastAsia" w:ascii="仿宋" w:hAnsi="仿宋" w:eastAsia="仿宋" w:cs="仿宋"/>
          <w:sz w:val="24"/>
          <w:szCs w:val="24"/>
        </w:rPr>
        <w:t>区：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</w:tr>
    </w:tbl>
    <w:p>
      <w:pPr>
        <w:jc w:val="center"/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高中组</w:t>
      </w:r>
    </w:p>
    <w:p>
      <w:pPr>
        <w:rPr>
          <w:rFonts w:hint="default" w:ascii="仿宋" w:hAnsi="仿宋" w:eastAsia="仿宋" w:cs="仿宋"/>
          <w:sz w:val="24"/>
          <w:szCs w:val="24"/>
          <w:lang w:val="en-US"/>
        </w:rPr>
      </w:pPr>
      <w:r>
        <w:rPr>
          <w:rFonts w:hint="eastAsia" w:ascii="仿宋" w:hAnsi="仿宋" w:eastAsia="仿宋" w:cs="仿宋"/>
          <w:sz w:val="24"/>
          <w:szCs w:val="24"/>
        </w:rPr>
        <w:t>1、方块摆放位置：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1、2、3、4、5、6、7、8、9、10、11、12</w:t>
      </w:r>
    </w:p>
    <w:p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2、每个位置对应的方块颜色：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691"/>
        <w:gridCol w:w="691"/>
        <w:gridCol w:w="691"/>
        <w:gridCol w:w="691"/>
        <w:gridCol w:w="691"/>
        <w:gridCol w:w="691"/>
        <w:gridCol w:w="691"/>
        <w:gridCol w:w="692"/>
        <w:gridCol w:w="692"/>
        <w:gridCol w:w="692"/>
        <w:gridCol w:w="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692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1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1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69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69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  <w:tc>
          <w:tcPr>
            <w:tcW w:w="692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3、分拣区：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左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70C0"/>
                <w:lang w:val="en-US" w:eastAsia="zh-CN"/>
              </w:rPr>
              <w:t>蓝色</w:t>
            </w:r>
          </w:p>
        </w:tc>
        <w:tc>
          <w:tcPr>
            <w:tcW w:w="2765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00B050"/>
                <w:lang w:val="en-US" w:eastAsia="zh-CN"/>
              </w:rPr>
              <w:t>绿色</w:t>
            </w:r>
          </w:p>
        </w:tc>
        <w:tc>
          <w:tcPr>
            <w:tcW w:w="2766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lang w:val="en-US" w:eastAsia="zh-CN"/>
              </w:rPr>
              <w:t>红色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3238500" cy="48577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959" cy="492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2"/>
        <w:rPr>
          <w:rFonts w:ascii="方正大标宋简体" w:eastAsia="方正大标宋简体"/>
          <w:sz w:val="56"/>
        </w:rPr>
      </w:pPr>
    </w:p>
    <w:p>
      <w:pPr>
        <w:rPr>
          <w:rFonts w:ascii="方正大标宋简体" w:eastAsia="方正大标宋简体"/>
          <w:sz w:val="56"/>
        </w:rPr>
      </w:pPr>
    </w:p>
    <w:p>
      <w:pPr>
        <w:pStyle w:val="2"/>
        <w:rPr>
          <w:rFonts w:ascii="方正大标宋简体" w:eastAsia="方正大标宋简体"/>
          <w:sz w:val="56"/>
        </w:rPr>
      </w:pPr>
    </w:p>
    <w:p>
      <w:pPr>
        <w:rPr>
          <w:rFonts w:ascii="方正大标宋简体" w:eastAsia="方正大标宋简体"/>
          <w:sz w:val="56"/>
        </w:rPr>
      </w:pPr>
    </w:p>
    <w:p>
      <w:pPr>
        <w:pStyle w:val="2"/>
      </w:pPr>
    </w:p>
    <w:p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40"/>
          <w:szCs w:val="40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  <w:t>2022年泰州市机器人大赛</w:t>
      </w:r>
    </w:p>
    <w:p>
      <w:pPr>
        <w:pStyle w:val="4"/>
        <w:spacing w:before="7"/>
        <w:ind w:left="0" w:right="447" w:rightChars="213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C 类：可编程控制的空中飞行器（飞行机器人）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现场任务模型位置摆放要求</w:t>
      </w:r>
    </w:p>
    <w:p>
      <w:pPr>
        <w:pStyle w:val="2"/>
        <w:ind w:left="0" w:leftChars="0" w:firstLine="0" w:firstLineChars="0"/>
        <w:jc w:val="center"/>
        <w:rPr>
          <w:rFonts w:hint="eastAsi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小学组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8"/>
        <w:gridCol w:w="59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任务</w:t>
            </w:r>
          </w:p>
        </w:tc>
        <w:tc>
          <w:tcPr>
            <w:tcW w:w="3498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地图</w:t>
            </w:r>
          </w:p>
        </w:tc>
        <w:tc>
          <w:tcPr>
            <w:tcW w:w="3498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严格按照省赛规则地图样式自行制作，不得修改或变更地图底色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停机坪起飞携带货颜色</w:t>
            </w:r>
          </w:p>
        </w:tc>
        <w:tc>
          <w:tcPr>
            <w:tcW w:w="3498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红色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货物放置区颜色</w:t>
            </w:r>
          </w:p>
        </w:tc>
        <w:tc>
          <w:tcPr>
            <w:tcW w:w="3498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E:红色 F:黄色 G:蓝色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收货区颜色</w:t>
            </w:r>
          </w:p>
        </w:tc>
        <w:tc>
          <w:tcPr>
            <w:tcW w:w="3498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A:红色 B:黄色 C:蓝色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基本任务</w:t>
            </w:r>
            <w:r>
              <w:rPr>
                <w:rFonts w:hint="eastAsia" w:ascii="仿宋" w:hAnsi="仿宋" w:eastAsia="仿宋"/>
              </w:rPr>
              <w:t>指定运载货物</w:t>
            </w:r>
          </w:p>
        </w:tc>
        <w:tc>
          <w:tcPr>
            <w:tcW w:w="3498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红色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挑战任务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搬运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顺序</w:t>
            </w:r>
          </w:p>
        </w:tc>
        <w:tc>
          <w:tcPr>
            <w:tcW w:w="3498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F:黄色→G:蓝色</w:t>
            </w:r>
          </w:p>
        </w:tc>
      </w:tr>
    </w:tbl>
    <w:p>
      <w:pPr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</w:p>
    <w:p>
      <w:pPr>
        <w:jc w:val="center"/>
        <w:rPr>
          <w:rFonts w:hint="default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初中组、高中组</w:t>
      </w:r>
    </w:p>
    <w:tbl>
      <w:tblPr>
        <w:tblStyle w:val="7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3"/>
        <w:gridCol w:w="6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任务</w:t>
            </w:r>
          </w:p>
        </w:tc>
        <w:tc>
          <w:tcPr>
            <w:tcW w:w="3529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地图</w:t>
            </w:r>
          </w:p>
        </w:tc>
        <w:tc>
          <w:tcPr>
            <w:tcW w:w="3529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严格按照省赛规则地图样式自行制作，不得修改或变更地图底色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停机坪起飞携带货颜色</w:t>
            </w:r>
          </w:p>
        </w:tc>
        <w:tc>
          <w:tcPr>
            <w:tcW w:w="3529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红色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货物放置区颜色</w:t>
            </w:r>
          </w:p>
        </w:tc>
        <w:tc>
          <w:tcPr>
            <w:tcW w:w="3529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E:红色 F:黄色 G:蓝色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收货区颜色</w:t>
            </w:r>
          </w:p>
        </w:tc>
        <w:tc>
          <w:tcPr>
            <w:tcW w:w="3529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A:红色 B:黄色 C:蓝色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货物放置区运载货物颜色顺序</w:t>
            </w:r>
          </w:p>
        </w:tc>
        <w:tc>
          <w:tcPr>
            <w:tcW w:w="3529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1、E:红色  2、F:黄色 3、G:蓝色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0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挑战任务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装载货物颜色</w:t>
            </w:r>
          </w:p>
        </w:tc>
        <w:tc>
          <w:tcPr>
            <w:tcW w:w="3529" w:type="pct"/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A:红色→B:黄色→C:蓝色（初中组只需装载红色物品即视为完成）</w:t>
            </w:r>
          </w:p>
        </w:tc>
      </w:tr>
    </w:tbl>
    <w:p>
      <w:pPr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br w:type="page"/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</w:rPr>
        <w:t>2022年泰州市机器人大赛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0" w:leftChars="0" w:right="0" w:firstLine="0" w:firstLineChars="0"/>
        <w:jc w:val="center"/>
        <w:textAlignment w:val="auto"/>
        <w:outlineLvl w:val="0"/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人工智能-优创未来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</w:t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现场抽签任务模型位置摆放要求</w:t>
      </w:r>
    </w:p>
    <w:p>
      <w:pPr>
        <w:pStyle w:val="2"/>
        <w:jc w:val="center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小学组</w:t>
      </w:r>
    </w:p>
    <w:tbl>
      <w:tblPr>
        <w:tblStyle w:val="8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0"/>
        <w:gridCol w:w="1701"/>
        <w:gridCol w:w="1013"/>
        <w:gridCol w:w="688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8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随机任务</w:t>
            </w:r>
          </w:p>
        </w:tc>
        <w:tc>
          <w:tcPr>
            <w:tcW w:w="271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通信基站启用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□</w:t>
            </w:r>
          </w:p>
        </w:tc>
        <w:tc>
          <w:tcPr>
            <w:tcW w:w="238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包裹整理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sym w:font="Wingdings 2" w:char="0052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提醒儿童</w:t>
            </w:r>
          </w:p>
        </w:tc>
        <w:tc>
          <w:tcPr>
            <w:tcW w:w="1701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□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B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sym w:font="Wingdings 2" w:char="0052"/>
            </w:r>
          </w:p>
        </w:tc>
        <w:tc>
          <w:tcPr>
            <w:tcW w:w="1701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C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sym w:font="Wingdings 2" w:char="0052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现场任务</w:t>
            </w:r>
          </w:p>
        </w:tc>
        <w:tc>
          <w:tcPr>
            <w:tcW w:w="5103" w:type="dxa"/>
            <w:gridSpan w:val="4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无现场任务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</w:p>
    <w:p/>
    <w:p/>
    <w:p/>
    <w:p/>
    <w:p/>
    <w:p/>
    <w:p/>
    <w:p/>
    <w:p/>
    <w:p>
      <w:pPr>
        <w:pStyle w:val="2"/>
      </w:pPr>
    </w:p>
    <w:p/>
    <w:p>
      <w:pPr>
        <w:pStyle w:val="2"/>
        <w:jc w:val="center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初中组</w:t>
      </w:r>
    </w:p>
    <w:p/>
    <w:tbl>
      <w:tblPr>
        <w:tblStyle w:val="8"/>
        <w:tblW w:w="9073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5"/>
        <w:gridCol w:w="47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</w:trPr>
        <w:tc>
          <w:tcPr>
            <w:tcW w:w="4295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交通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  <w:t>标志</w:t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drawing>
                <wp:inline distT="0" distB="0" distL="0" distR="0">
                  <wp:extent cx="1771015" cy="1014730"/>
                  <wp:effectExtent l="0" t="0" r="635" b="13970"/>
                  <wp:docPr id="2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757" cy="1037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注意学生；绿灯；</w:t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进入隧道；鸣笛；</w:t>
            </w:r>
          </w:p>
        </w:tc>
        <w:tc>
          <w:tcPr>
            <w:tcW w:w="4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88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绿灯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88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2：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进入隧道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88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3：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鸣笛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88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4：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注意学生</w:t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</w:trPr>
        <w:tc>
          <w:tcPr>
            <w:tcW w:w="4295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高效撒播</w:t>
            </w:r>
          </w:p>
        </w:tc>
        <w:tc>
          <w:tcPr>
            <w:tcW w:w="4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 xml:space="preserve">            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sym w:font="Wingdings 2" w:char="0052"/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9" w:hRule="atLeast"/>
        </w:trPr>
        <w:tc>
          <w:tcPr>
            <w:tcW w:w="4295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eastAsia="zh-CN"/>
              </w:rPr>
              <w:t>林间巡逻</w:t>
            </w:r>
          </w:p>
        </w:tc>
        <w:tc>
          <w:tcPr>
            <w:tcW w:w="4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 xml:space="preserve">            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sym w:font="Wingdings 2" w:char="0052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9" w:hRule="atLeast"/>
        </w:trPr>
        <w:tc>
          <w:tcPr>
            <w:tcW w:w="4295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精准除草</w:t>
            </w:r>
          </w:p>
        </w:tc>
        <w:tc>
          <w:tcPr>
            <w:tcW w:w="4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sym w:font="Wingdings 2" w:char="0052"/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 xml:space="preserve">            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 xml:space="preserve">            4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 xml:space="preserve">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7" w:hRule="atLeast"/>
        </w:trPr>
        <w:tc>
          <w:tcPr>
            <w:tcW w:w="4295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飞鸟</w:t>
            </w:r>
          </w:p>
        </w:tc>
        <w:tc>
          <w:tcPr>
            <w:tcW w:w="4778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存在飞鸟</w:t>
            </w:r>
          </w:p>
        </w:tc>
      </w:tr>
    </w:tbl>
    <w:p/>
    <w:p>
      <w:pPr>
        <w:pStyle w:val="13"/>
        <w:pageBreakBefore w:val="0"/>
        <w:kinsoku/>
        <w:wordWrap/>
        <w:overflowPunct/>
        <w:topLinePunct w:val="0"/>
        <w:bidi w:val="0"/>
        <w:spacing w:line="360" w:lineRule="auto"/>
        <w:ind w:left="0" w:leftChars="0" w:right="0" w:firstLine="44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2"/>
          <w:szCs w:val="22"/>
        </w:rPr>
      </w:pPr>
    </w:p>
    <w:p>
      <w:pPr>
        <w:pStyle w:val="13"/>
        <w:pageBreakBefore w:val="0"/>
        <w:kinsoku/>
        <w:wordWrap/>
        <w:overflowPunct/>
        <w:topLinePunct w:val="0"/>
        <w:bidi w:val="0"/>
        <w:spacing w:line="360" w:lineRule="auto"/>
        <w:ind w:right="0"/>
        <w:textAlignment w:val="auto"/>
        <w:rPr>
          <w:rFonts w:hint="eastAsia" w:ascii="仿宋" w:hAnsi="仿宋" w:eastAsia="仿宋" w:cs="仿宋"/>
          <w:b/>
          <w:bCs/>
          <w:color w:val="auto"/>
          <w:sz w:val="22"/>
          <w:szCs w:val="22"/>
        </w:rPr>
      </w:pPr>
    </w:p>
    <w:p>
      <w:pPr>
        <w:pStyle w:val="2"/>
        <w:jc w:val="center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高中组</w:t>
      </w:r>
    </w:p>
    <w:tbl>
      <w:tblPr>
        <w:tblStyle w:val="8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0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8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飞机入场位置</w:t>
            </w:r>
          </w:p>
        </w:tc>
        <w:tc>
          <w:tcPr>
            <w:tcW w:w="51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3号位置入场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drawing>
                <wp:inline distT="0" distB="0" distL="114300" distR="114300">
                  <wp:extent cx="1745615" cy="1083310"/>
                  <wp:effectExtent l="0" t="0" r="6985" b="254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615" cy="108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紧急情况动作</w:t>
            </w:r>
          </w:p>
        </w:tc>
        <w:tc>
          <w:tcPr>
            <w:tcW w:w="5103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 xml:space="preserve">        紧急火警动作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停机入位</w:t>
            </w:r>
          </w:p>
        </w:tc>
        <w:tc>
          <w:tcPr>
            <w:tcW w:w="5103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drawing>
                <wp:inline distT="0" distB="0" distL="114300" distR="114300">
                  <wp:extent cx="1697355" cy="1054100"/>
                  <wp:effectExtent l="0" t="0" r="17145" b="1270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355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停入A号位置，B号位置色卡为蓝色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9" w:hRule="atLeast"/>
          <w:jc w:val="center"/>
        </w:trPr>
        <w:tc>
          <w:tcPr>
            <w:tcW w:w="397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 w:bidi="ar-SA"/>
              </w:rPr>
              <w:t>现场任务</w:t>
            </w:r>
          </w:p>
        </w:tc>
        <w:tc>
          <w:tcPr>
            <w:tcW w:w="5103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drawing>
                <wp:inline distT="0" distB="0" distL="114300" distR="114300">
                  <wp:extent cx="1559560" cy="967105"/>
                  <wp:effectExtent l="0" t="0" r="2540" b="444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560" cy="967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/>
              <w:spacing w:line="360" w:lineRule="auto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机器人做“向前直行”动作，并播报相应语音。</w:t>
            </w:r>
          </w:p>
        </w:tc>
      </w:tr>
    </w:tbl>
    <w:p>
      <w:pPr>
        <w:rPr>
          <w:rFonts w:hint="eastAsia" w:ascii="仿宋" w:hAnsi="仿宋" w:eastAsia="仿宋" w:cs="仿宋"/>
          <w:b w:val="0"/>
          <w:bCs w:val="0"/>
          <w:sz w:val="24"/>
          <w:szCs w:val="24"/>
        </w:rPr>
      </w:pPr>
    </w:p>
    <w:p/>
    <w:p>
      <w:pPr>
        <w:pStyle w:val="2"/>
        <w:rPr>
          <w:rFonts w:ascii="方正大标宋简体" w:eastAsia="方正大标宋简体"/>
          <w:sz w:val="56"/>
        </w:rPr>
      </w:pPr>
    </w:p>
    <w:p/>
    <w:p>
      <w:pPr>
        <w:pStyle w:val="2"/>
      </w:pPr>
    </w:p>
    <w:p/>
    <w:p>
      <w:pPr>
        <w:pStyle w:val="2"/>
      </w:pP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  <w:t>2022年泰州市机器人大赛</w:t>
      </w:r>
    </w:p>
    <w:p>
      <w:pPr>
        <w:numPr>
          <w:ilvl w:val="0"/>
          <w:numId w:val="0"/>
        </w:numPr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ITI科创教育</w:t>
      </w:r>
    </w:p>
    <w:p>
      <w:pPr>
        <w:numPr>
          <w:ilvl w:val="0"/>
          <w:numId w:val="0"/>
        </w:numPr>
        <w:jc w:val="center"/>
        <w:rPr>
          <w:rFonts w:hint="default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现场任务模型位置摆放要求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释放探针（30分）：任务点三，常规方向。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关闭气阀双向门（20+20分）：任务点四，常规方向。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启动深空扫描（10/30/50分）：任务点一，常规方向。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组合空间站（50+50分）：任务点六，二维码信息牌在右端，同演示视频。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</w:rPr>
        <w:t>深空测距（50分）：任务点五，常规方向。</w:t>
      </w: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437890"/>
            <wp:effectExtent l="0" t="0" r="10160" b="10160"/>
            <wp:docPr id="5" name="图片 1" descr="16702881fc0e4b628dc679ba2bca7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16702881fc0e4b628dc679ba2bca7d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  <w:t>2022年泰州市机器人大赛</w:t>
      </w:r>
    </w:p>
    <w:p>
      <w:pPr>
        <w:numPr>
          <w:ilvl w:val="0"/>
          <w:numId w:val="0"/>
        </w:numPr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GAR火星移民</w:t>
      </w:r>
    </w:p>
    <w:p>
      <w:pPr>
        <w:numPr>
          <w:ilvl w:val="0"/>
          <w:numId w:val="0"/>
        </w:numPr>
        <w:jc w:val="center"/>
        <w:rPr>
          <w:rFonts w:hint="eastAsia"/>
          <w:color w:val="FF0000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现场任务模型位置摆放要求</w:t>
      </w:r>
    </w:p>
    <w:p>
      <w:pPr>
        <w:rPr>
          <w:rFonts w:hint="eastAsia"/>
          <w:color w:val="FF0000"/>
        </w:rPr>
      </w:pPr>
    </w:p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小学组</w:t>
      </w:r>
    </w:p>
    <w:p>
      <w:pPr>
        <w:numPr>
          <w:ilvl w:val="0"/>
          <w:numId w:val="3"/>
        </w:num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探索麦田怪圈任务：信号器放置位置（篮圈）；</w:t>
      </w:r>
    </w:p>
    <w:p>
      <w:pPr>
        <w:numPr>
          <w:ilvl w:val="0"/>
          <w:numId w:val="3"/>
        </w:num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探索金字塔任务：信号器初始的位置（红左蓝右）、决定放置在金字塔的信号器（红）；</w:t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探索神秘海域任务与神农架任务：2个触发模型位置（H-1、H-3）</w:t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探索神秘海域任务：飞机模型位置（E-1）</w:t>
      </w:r>
    </w:p>
    <w:p>
      <w:p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神农架任务：2个架子模型触发其中一个（B-1）</w:t>
      </w:r>
    </w:p>
    <w:p/>
    <w:p/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中学组</w:t>
      </w:r>
    </w:p>
    <w:p>
      <w:pPr>
        <w:numPr>
          <w:ilvl w:val="0"/>
          <w:numId w:val="4"/>
        </w:num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探索神秘海域任务与神农架任务：2个触发模型位置（H-1、H-3）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探索神秘海域任务：飞机模型位置（E-1）</w:t>
      </w:r>
    </w:p>
    <w:p>
      <w:p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探索神农架任务：中学组架子模型上tag码贴纸（B-1为1，B-2为2）</w:t>
      </w:r>
    </w:p>
    <w:p>
      <w:p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探索麦田怪圈任务：中学组tag贴纸（2）</w:t>
      </w:r>
    </w:p>
    <w:p>
      <w:pPr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探索金字塔任务：中学组信号器放置的位置（红左蓝右）、中学组金字塔上tag（2）</w:t>
      </w:r>
    </w:p>
    <w:p>
      <w:pPr>
        <w:rPr>
          <w:rFonts w:hint="eastAsia"/>
        </w:rPr>
      </w:pPr>
    </w:p>
    <w:p/>
    <w:p>
      <w:pPr>
        <w:pStyle w:val="2"/>
      </w:pPr>
    </w:p>
    <w:p/>
    <w:p/>
    <w:p>
      <w:pPr>
        <w:pStyle w:val="2"/>
      </w:pP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0"/>
          <w:szCs w:val="40"/>
          <w:lang w:val="en-US" w:eastAsia="zh-CN"/>
        </w:rPr>
        <w:t>2022年泰州市机器人大赛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WER能力挑战赛</w:t>
      </w:r>
    </w:p>
    <w:p>
      <w:pPr>
        <w:numPr>
          <w:ilvl w:val="0"/>
          <w:numId w:val="0"/>
        </w:numPr>
        <w:jc w:val="center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现场任务模型位置摆放要求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color w:val="0000FF"/>
          <w:sz w:val="32"/>
          <w:szCs w:val="32"/>
        </w:rPr>
      </w:pPr>
    </w:p>
    <w:p>
      <w:pPr>
        <w:numPr>
          <w:ilvl w:val="0"/>
          <w:numId w:val="5"/>
        </w:numPr>
        <w:rPr>
          <w:rFonts w:hint="eastAsia" w:ascii="仿宋" w:hAnsi="仿宋" w:eastAsia="仿宋" w:cs="仿宋"/>
          <w:color w:val="0000FF"/>
          <w:sz w:val="28"/>
          <w:szCs w:val="28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无线充电站模型的初始位置位于一层可变位置B。</w:t>
      </w:r>
    </w:p>
    <w:p>
      <w:pPr>
        <w:numPr>
          <w:ilvl w:val="0"/>
          <w:numId w:val="5"/>
        </w:numPr>
        <w:rPr>
          <w:rFonts w:hint="eastAsia" w:ascii="仿宋" w:hAnsi="仿宋" w:eastAsia="仿宋" w:cs="仿宋"/>
          <w:color w:val="0000FF"/>
          <w:sz w:val="28"/>
          <w:szCs w:val="28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停止石油开采模型的初始位置位于一层可变位置C。</w:t>
      </w:r>
    </w:p>
    <w:p>
      <w:pPr>
        <w:numPr>
          <w:ilvl w:val="0"/>
          <w:numId w:val="5"/>
        </w:numPr>
        <w:rPr>
          <w:rFonts w:hint="eastAsia" w:ascii="仿宋" w:hAnsi="仿宋" w:eastAsia="仿宋" w:cs="仿宋"/>
          <w:color w:val="0000FF"/>
          <w:sz w:val="28"/>
          <w:szCs w:val="28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光伏发电开采模型的初始位置位于一层可变位置D。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4、节约用电模型的初始位置位于一层可变位置A。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ED7D31" w:themeColor="accent2"/>
          <w:sz w:val="28"/>
          <w:szCs w:val="28"/>
          <w:lang w:val="en-US" w:eastAsia="zh-CN"/>
          <w14:textFill>
            <w14:solidFill>
              <w14:schemeClr w14:val="accent2"/>
            </w14:solidFill>
          </w14:textFill>
        </w:rPr>
      </w:pP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5、盐湖提锂模型的初始位置位于二层可变位置十一。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6、获取能量块模型的初始位置位于一层可变位置四。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7、循环利用的初始位置位于二层可变位置九 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8、 开采矿石模型的初始位置位于一层可变位置七。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lang w:val="en-US" w:eastAsia="zh-CN"/>
        </w:rPr>
        <w:t>9、加工矿石任务模型的初始位置为一层可变位置一。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10、高密度电池模型的初始位置位于二层可变位置十二。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color w:val="ED7D31" w:themeColor="accent2"/>
          <w:sz w:val="28"/>
          <w:szCs w:val="28"/>
          <w:lang w:val="en-US" w:eastAsia="zh-CN"/>
          <w14:textFill>
            <w14:solidFill>
              <w14:schemeClr w14:val="accent2"/>
            </w14:solidFill>
          </w14:textFill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备注：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1、以上任务红色字体代表二层任务位置，蓝色字体为一层任务模型位置。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2、以上任务方向固定，按规则中红色箭头为正方向，即摆放方向。</w:t>
      </w:r>
    </w:p>
    <w:p/>
    <w:p>
      <w:pPr>
        <w:pStyle w:val="2"/>
        <w:ind w:left="0" w:leftChars="0" w:firstLine="0" w:firstLineChars="0"/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</w:rPr>
        <w:t>2022年泰州市机器人大赛</w:t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共创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M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akeX 机器人挑战赛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</w:t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现场抽签任务模型位置摆放要求</w:t>
      </w:r>
    </w:p>
    <w:p>
      <w:pPr>
        <w:jc w:val="center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小学组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1.黄色方块位置如图，1为一个方块，2为两个方块叠放。</w:t>
      </w:r>
    </w:p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2.抽取小球位置如图所示蓝色为蓝方，红色为红方。</w:t>
      </w:r>
    </w:p>
    <w:p>
      <w:pPr>
        <w:jc w:val="center"/>
      </w:pPr>
      <w:r>
        <w:drawing>
          <wp:inline distT="0" distB="0" distL="114300" distR="114300">
            <wp:extent cx="5273040" cy="2370455"/>
            <wp:effectExtent l="0" t="0" r="3810" b="1079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初中组</w:t>
      </w:r>
    </w:p>
    <w:p>
      <w:pPr>
        <w:numPr>
          <w:ilvl w:val="0"/>
          <w:numId w:val="6"/>
        </w:num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红方蓝方抽取黄色方块位置如图</w:t>
      </w:r>
    </w:p>
    <w:p>
      <w:pPr>
        <w:jc w:val="center"/>
      </w:pPr>
      <w:r>
        <w:drawing>
          <wp:inline distT="0" distB="0" distL="114300" distR="114300">
            <wp:extent cx="3695700" cy="3638550"/>
            <wp:effectExtent l="0" t="0" r="0" b="0"/>
            <wp:docPr id="7" name="图片 3" descr="164966573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1649665733(1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u揰...">
    <w:altName w:val="宋体"/>
    <w:panose1 w:val="020B0604020202020204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大黑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A889B1"/>
    <w:multiLevelType w:val="singleLevel"/>
    <w:tmpl w:val="87A889B1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abstractNum w:abstractNumId="1">
    <w:nsid w:val="9B41550A"/>
    <w:multiLevelType w:val="singleLevel"/>
    <w:tmpl w:val="9B41550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7A3B82A"/>
    <w:multiLevelType w:val="singleLevel"/>
    <w:tmpl w:val="A7A3B82A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CB2666C5"/>
    <w:multiLevelType w:val="singleLevel"/>
    <w:tmpl w:val="CB2666C5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abstractNum w:abstractNumId="4">
    <w:nsid w:val="E53D56E4"/>
    <w:multiLevelType w:val="singleLevel"/>
    <w:tmpl w:val="E53D56E4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abstractNum w:abstractNumId="5">
    <w:nsid w:val="1E6F3175"/>
    <w:multiLevelType w:val="multilevel"/>
    <w:tmpl w:val="1E6F317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C"/>
    <w:rsid w:val="000371CA"/>
    <w:rsid w:val="002A4708"/>
    <w:rsid w:val="00401C25"/>
    <w:rsid w:val="004E48E0"/>
    <w:rsid w:val="005058C8"/>
    <w:rsid w:val="005D26F5"/>
    <w:rsid w:val="005F7527"/>
    <w:rsid w:val="006C558B"/>
    <w:rsid w:val="008019E7"/>
    <w:rsid w:val="00814B8E"/>
    <w:rsid w:val="008218FB"/>
    <w:rsid w:val="008625CC"/>
    <w:rsid w:val="00A11589"/>
    <w:rsid w:val="00A77546"/>
    <w:rsid w:val="00A8654B"/>
    <w:rsid w:val="00AB28C3"/>
    <w:rsid w:val="00AE2590"/>
    <w:rsid w:val="00AF4F7D"/>
    <w:rsid w:val="00BC3382"/>
    <w:rsid w:val="00C72381"/>
    <w:rsid w:val="00D56B8D"/>
    <w:rsid w:val="00DB753C"/>
    <w:rsid w:val="00E074EB"/>
    <w:rsid w:val="00E46AD2"/>
    <w:rsid w:val="00E8654C"/>
    <w:rsid w:val="00F031BD"/>
    <w:rsid w:val="00F430D7"/>
    <w:rsid w:val="00FA5860"/>
    <w:rsid w:val="00FB753B"/>
    <w:rsid w:val="04497378"/>
    <w:rsid w:val="04CC1D57"/>
    <w:rsid w:val="05155BAD"/>
    <w:rsid w:val="06546606"/>
    <w:rsid w:val="07762B7A"/>
    <w:rsid w:val="09B63701"/>
    <w:rsid w:val="0A5F5B47"/>
    <w:rsid w:val="0CC53C5B"/>
    <w:rsid w:val="0D054058"/>
    <w:rsid w:val="14AD4509"/>
    <w:rsid w:val="17DE4D36"/>
    <w:rsid w:val="19C518F8"/>
    <w:rsid w:val="20F841A8"/>
    <w:rsid w:val="21442F49"/>
    <w:rsid w:val="21AA4641"/>
    <w:rsid w:val="24052B9C"/>
    <w:rsid w:val="28977E13"/>
    <w:rsid w:val="29D11A3A"/>
    <w:rsid w:val="2C136339"/>
    <w:rsid w:val="2FFB75C3"/>
    <w:rsid w:val="31010E56"/>
    <w:rsid w:val="32C738E5"/>
    <w:rsid w:val="36211653"/>
    <w:rsid w:val="380E56F9"/>
    <w:rsid w:val="38804D57"/>
    <w:rsid w:val="39A84565"/>
    <w:rsid w:val="3A581796"/>
    <w:rsid w:val="3B4B164C"/>
    <w:rsid w:val="3DC4168B"/>
    <w:rsid w:val="400B75FC"/>
    <w:rsid w:val="41970A1B"/>
    <w:rsid w:val="485D641B"/>
    <w:rsid w:val="48D72771"/>
    <w:rsid w:val="4F007414"/>
    <w:rsid w:val="503F0BFC"/>
    <w:rsid w:val="506D39BB"/>
    <w:rsid w:val="518A5EA7"/>
    <w:rsid w:val="5510172F"/>
    <w:rsid w:val="558A0D0B"/>
    <w:rsid w:val="569A3030"/>
    <w:rsid w:val="5B885B4D"/>
    <w:rsid w:val="5C190553"/>
    <w:rsid w:val="5FBC7B73"/>
    <w:rsid w:val="60885CA7"/>
    <w:rsid w:val="62353C0D"/>
    <w:rsid w:val="634560D1"/>
    <w:rsid w:val="64D27783"/>
    <w:rsid w:val="65982E30"/>
    <w:rsid w:val="6767101F"/>
    <w:rsid w:val="684C2F15"/>
    <w:rsid w:val="6B640CB9"/>
    <w:rsid w:val="6FD81A0A"/>
    <w:rsid w:val="732B52E4"/>
    <w:rsid w:val="75790588"/>
    <w:rsid w:val="7FB86882"/>
    <w:rsid w:val="7FBE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ind w:left="420" w:leftChars="200"/>
    </w:pPr>
    <w:rPr>
      <w:rFonts w:ascii="Calibri" w:hAnsi="Calibri" w:eastAsia="宋体" w:cs="Times New Roman"/>
    </w:rPr>
  </w:style>
  <w:style w:type="paragraph" w:styleId="4">
    <w:name w:val="Body Text"/>
    <w:basedOn w:val="1"/>
    <w:qFormat/>
    <w:uiPriority w:val="1"/>
    <w:pPr>
      <w:ind w:left="640"/>
    </w:pPr>
    <w:rPr>
      <w:sz w:val="24"/>
      <w:szCs w:val="24"/>
    </w:r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u揰..." w:hAnsi="Calibri" w:eastAsia="宋体u揰..." w:cs="宋体u揰..."/>
      <w:color w:val="000000"/>
      <w:sz w:val="24"/>
      <w:szCs w:val="24"/>
      <w:lang w:val="en-US" w:eastAsia="zh-CN" w:bidi="ar-SA"/>
    </w:rPr>
  </w:style>
  <w:style w:type="character" w:customStyle="1" w:styleId="14">
    <w:name w:val="标题 1 Char"/>
    <w:link w:val="3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12</Pages>
  <Words>1966</Words>
  <Characters>2094</Characters>
  <Lines>5</Lines>
  <Paragraphs>1</Paragraphs>
  <TotalTime>1</TotalTime>
  <ScaleCrop>false</ScaleCrop>
  <LinksUpToDate>false</LinksUpToDate>
  <CharactersWithSpaces>2205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2022-04-10T12:51:00Z</dcterms:created>
  <dc:creator>Windows User</dc:creator>
  <cp:lastModifiedBy>邓超</cp:lastModifiedBy>
  <dcterms:modified xsi:type="dcterms:W3CDTF">2022-04-12T03:04:55Z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DA1794B65FDA4C26BEEC759A17631A70</vt:lpwstr>
  </property>
</Properties>
</file>