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56"/>
          <w:szCs w:val="96"/>
          <w:lang w:val="en-US" w:eastAsia="zh-CN" w:bidi="ar-SA"/>
        </w:rPr>
      </w:pPr>
      <w:bookmarkStart w:id="0" w:name="_bookmark1"/>
      <w:bookmarkEnd w:id="0"/>
      <w:r>
        <w:rPr>
          <w:rFonts w:hint="eastAsia" w:ascii="黑体" w:hAnsi="黑体" w:eastAsia="黑体" w:cs="黑体"/>
          <w:snapToGrid/>
          <w:color w:val="auto"/>
          <w:kern w:val="2"/>
          <w:sz w:val="56"/>
          <w:szCs w:val="96"/>
          <w:lang w:val="en-US" w:eastAsia="zh-CN" w:bidi="ar-SA"/>
        </w:rPr>
        <w:t>2023年“领航杯”</w:t>
      </w:r>
    </w:p>
    <w:p>
      <w:pPr>
        <w:spacing w:line="360" w:lineRule="auto"/>
        <w:jc w:val="center"/>
        <w:rPr>
          <w:rFonts w:hint="eastAsia" w:ascii="黑体" w:hAnsi="黑体" w:eastAsia="黑体" w:cs="黑体"/>
          <w:color w:val="auto"/>
          <w:sz w:val="56"/>
          <w:szCs w:val="96"/>
          <w:lang w:val="en-US" w:eastAsia="zh-CN"/>
        </w:rPr>
      </w:pPr>
      <w:r>
        <w:rPr>
          <w:rFonts w:hint="eastAsia" w:ascii="黑体" w:hAnsi="黑体" w:eastAsia="黑体" w:cs="黑体"/>
          <w:color w:val="auto"/>
          <w:sz w:val="56"/>
          <w:szCs w:val="96"/>
          <w:lang w:val="en-US" w:eastAsia="zh-CN"/>
        </w:rPr>
        <w:t>江苏省中小学生信息素养提升实践活动</w:t>
      </w:r>
    </w:p>
    <w:p>
      <w:pPr>
        <w:spacing w:line="360" w:lineRule="auto"/>
        <w:jc w:val="center"/>
        <w:rPr>
          <w:rFonts w:hint="eastAsia" w:ascii="黑体" w:hAnsi="黑体" w:eastAsia="黑体" w:cs="黑体"/>
          <w:color w:val="auto"/>
          <w:sz w:val="56"/>
          <w:szCs w:val="96"/>
          <w:lang w:val="en-US" w:eastAsia="zh-CN"/>
        </w:rPr>
      </w:pPr>
    </w:p>
    <w:p>
      <w:pPr>
        <w:spacing w:line="360" w:lineRule="auto"/>
        <w:jc w:val="center"/>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智能机器人——B类：轮式或履带式</w:t>
      </w:r>
    </w:p>
    <w:p>
      <w:pPr>
        <w:jc w:val="center"/>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行走机器人</w:t>
      </w:r>
    </w:p>
    <w:p>
      <w:pPr>
        <w:jc w:val="center"/>
        <w:rPr>
          <w:rFonts w:hint="eastAsia" w:ascii="黑体" w:hAnsi="黑体" w:eastAsia="黑体" w:cs="黑体"/>
          <w:color w:val="auto"/>
          <w:sz w:val="48"/>
          <w:szCs w:val="56"/>
          <w:lang w:val="en-US" w:eastAsia="zh-CN"/>
        </w:rPr>
      </w:pPr>
    </w:p>
    <w:p>
      <w:pPr>
        <w:jc w:val="center"/>
        <w:rPr>
          <w:rFonts w:hint="eastAsia" w:ascii="黑体" w:hAnsi="黑体" w:eastAsia="黑体" w:cs="黑体"/>
          <w:color w:val="auto"/>
          <w:sz w:val="48"/>
          <w:szCs w:val="56"/>
          <w:lang w:val="en-US" w:eastAsia="zh-CN"/>
        </w:rPr>
      </w:pP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rPr>
      </w:pPr>
      <w:r>
        <w:rPr>
          <w:rFonts w:hint="eastAsia" w:ascii="黑体" w:hAnsi="黑体" w:eastAsia="黑体" w:cs="黑体"/>
          <w:snapToGrid w:val="0"/>
          <w:color w:val="auto"/>
          <w:kern w:val="0"/>
          <w:sz w:val="72"/>
          <w:szCs w:val="72"/>
          <w:lang w:val="en-US" w:eastAsia="zh-CN"/>
        </w:rPr>
        <w:t>规</w:t>
      </w: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rPr>
      </w:pPr>
      <w:r>
        <w:rPr>
          <w:rFonts w:hint="eastAsia" w:ascii="黑体" w:hAnsi="黑体" w:eastAsia="黑体" w:cs="黑体"/>
          <w:snapToGrid w:val="0"/>
          <w:color w:val="auto"/>
          <w:kern w:val="0"/>
          <w:sz w:val="72"/>
          <w:szCs w:val="72"/>
          <w:lang w:val="en-US" w:eastAsia="zh-CN"/>
        </w:rPr>
        <w:t>则</w:t>
      </w: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rPr>
      </w:pPr>
    </w:p>
    <w:p>
      <w:pPr>
        <w:widowControl/>
        <w:kinsoku w:val="0"/>
        <w:adjustRightInd w:val="0"/>
        <w:snapToGrid w:val="0"/>
        <w:spacing w:line="360" w:lineRule="auto"/>
        <w:jc w:val="center"/>
        <w:textAlignment w:val="baseline"/>
        <w:rPr>
          <w:rFonts w:hint="eastAsia" w:ascii="黑体" w:hAnsi="黑体" w:eastAsia="黑体" w:cs="黑体"/>
          <w:color w:val="auto"/>
          <w:sz w:val="44"/>
          <w:szCs w:val="52"/>
          <w:lang w:val="en-US" w:eastAsia="zh-CN"/>
        </w:rPr>
      </w:pPr>
      <w:r>
        <w:rPr>
          <w:rFonts w:hint="eastAsia" w:ascii="黑体" w:hAnsi="黑体" w:eastAsia="黑体" w:cs="黑体"/>
          <w:color w:val="auto"/>
          <w:sz w:val="44"/>
          <w:szCs w:val="52"/>
          <w:lang w:val="en-US" w:eastAsia="zh-CN"/>
        </w:rPr>
        <w:t>江苏省电化教育馆</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44"/>
          <w:szCs w:val="52"/>
          <w:lang w:val="en-US" w:eastAsia="zh-CN" w:bidi="ar-SA"/>
        </w:rPr>
        <w:sectPr>
          <w:footerReference r:id="rId3" w:type="default"/>
          <w:pgSz w:w="11910" w:h="16840"/>
          <w:pgMar w:top="2268" w:right="1134" w:bottom="2268" w:left="1134" w:header="0" w:footer="981" w:gutter="0"/>
          <w:pgBorders>
            <w:top w:val="none" w:sz="0" w:space="0"/>
            <w:left w:val="none" w:sz="0" w:space="0"/>
            <w:bottom w:val="none" w:sz="0" w:space="0"/>
            <w:right w:val="none" w:sz="0" w:space="0"/>
          </w:pgBorders>
          <w:pgNumType w:fmt="numberInDash"/>
          <w:cols w:space="0" w:num="1"/>
          <w:rtlGutter w:val="0"/>
          <w:docGrid w:linePitch="0" w:charSpace="0"/>
        </w:sectPr>
      </w:pPr>
      <w:r>
        <w:rPr>
          <w:rFonts w:hint="eastAsia" w:ascii="黑体" w:hAnsi="黑体" w:eastAsia="黑体" w:cs="黑体"/>
          <w:snapToGrid/>
          <w:color w:val="auto"/>
          <w:kern w:val="2"/>
          <w:sz w:val="44"/>
          <w:szCs w:val="52"/>
          <w:lang w:val="en-US" w:eastAsia="zh-CN" w:bidi="ar-SA"/>
        </w:rPr>
        <w:t>2023年1月</w:t>
      </w:r>
    </w:p>
    <w:p>
      <w:pPr>
        <w:pStyle w:val="2"/>
        <w:spacing w:line="360" w:lineRule="auto"/>
        <w:ind w:left="0" w:leftChars="0" w:right="469" w:rightChars="213" w:firstLine="0" w:firstLine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B类：轮式或履带式行走机器人</w:t>
      </w:r>
    </w:p>
    <w:p>
      <w:pPr>
        <w:spacing w:line="360" w:lineRule="auto"/>
        <w:rPr>
          <w:color w:val="auto"/>
        </w:rPr>
      </w:pPr>
    </w:p>
    <w:p>
      <w:pPr>
        <w:pStyle w:val="3"/>
        <w:tabs>
          <w:tab w:val="left" w:pos="876"/>
        </w:tabs>
        <w:spacing w:line="360" w:lineRule="auto"/>
        <w:ind w:left="0" w:firstLine="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rPr>
        <w:t xml:space="preserve">1 </w:t>
      </w:r>
      <w:r>
        <w:rPr>
          <w:rFonts w:hint="eastAsia" w:ascii="仿宋_GB2312" w:hAnsi="仿宋_GB2312" w:eastAsia="仿宋_GB2312" w:cs="仿宋_GB2312"/>
          <w:color w:val="auto"/>
          <w:sz w:val="28"/>
          <w:szCs w:val="28"/>
        </w:rPr>
        <w:t>机器人界定</w:t>
      </w:r>
    </w:p>
    <w:p>
      <w:pPr>
        <w:spacing w:line="360" w:lineRule="auto"/>
        <w:ind w:firstLine="480" w:firstLineChars="200"/>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rPr>
        <w:t>轮式或履带式行走机器人：以轮子或履带作为移动运动结构的机器人，如图所示。</w:t>
      </w:r>
    </w:p>
    <w:p>
      <w:pPr>
        <w:pStyle w:val="3"/>
        <w:tabs>
          <w:tab w:val="left" w:pos="876"/>
        </w:tabs>
        <w:spacing w:line="360" w:lineRule="auto"/>
        <w:ind w:left="0" w:firstLine="0"/>
        <w:rPr>
          <w:rFonts w:hint="eastAsia" w:ascii="仿宋_GB2312" w:hAnsi="仿宋_GB2312" w:eastAsia="仿宋_GB2312" w:cs="仿宋_GB2312"/>
          <w:color w:val="auto"/>
          <w:sz w:val="28"/>
          <w:szCs w:val="28"/>
          <w:lang w:val="en-US"/>
        </w:rPr>
      </w:pPr>
      <w:r>
        <w:rPr>
          <w:rFonts w:hint="eastAsia" w:ascii="仿宋_GB2312" w:hAnsi="仿宋_GB2312" w:eastAsia="仿宋_GB2312" w:cs="仿宋_GB2312"/>
          <w:color w:val="auto"/>
          <w:sz w:val="28"/>
          <w:szCs w:val="28"/>
          <w:lang w:val="en-US" w:bidi="ar-SA"/>
        </w:rPr>
        <w:drawing>
          <wp:anchor distT="0" distB="0" distL="0" distR="0" simplePos="0" relativeHeight="251659264" behindDoc="0" locked="0" layoutInCell="1" allowOverlap="1">
            <wp:simplePos x="0" y="0"/>
            <wp:positionH relativeFrom="column">
              <wp:posOffset>2684780</wp:posOffset>
            </wp:positionH>
            <wp:positionV relativeFrom="paragraph">
              <wp:posOffset>168275</wp:posOffset>
            </wp:positionV>
            <wp:extent cx="2621915" cy="1740535"/>
            <wp:effectExtent l="0" t="0" r="14605" b="12065"/>
            <wp:wrapTopAndBottom/>
            <wp:docPr id="1026" name="图片 4"/>
            <wp:cNvGraphicFramePr/>
            <a:graphic xmlns:a="http://schemas.openxmlformats.org/drawingml/2006/main">
              <a:graphicData uri="http://schemas.openxmlformats.org/drawingml/2006/picture">
                <pic:pic xmlns:pic="http://schemas.openxmlformats.org/drawingml/2006/picture">
                  <pic:nvPicPr>
                    <pic:cNvPr id="1026" name="图片 4"/>
                    <pic:cNvPicPr/>
                  </pic:nvPicPr>
                  <pic:blipFill>
                    <a:blip r:embed="rId6" cstate="print"/>
                    <a:srcRect t="3316"/>
                    <a:stretch>
                      <a:fillRect/>
                    </a:stretch>
                  </pic:blipFill>
                  <pic:spPr>
                    <a:xfrm>
                      <a:off x="0" y="0"/>
                      <a:ext cx="2621915" cy="1740535"/>
                    </a:xfrm>
                    <a:prstGeom prst="rect">
                      <a:avLst/>
                    </a:prstGeom>
                    <a:ln>
                      <a:noFill/>
                    </a:ln>
                  </pic:spPr>
                </pic:pic>
              </a:graphicData>
            </a:graphic>
          </wp:anchor>
        </w:drawing>
      </w:r>
      <w:r>
        <w:rPr>
          <w:rFonts w:hint="eastAsia" w:ascii="仿宋_GB2312" w:hAnsi="仿宋_GB2312" w:eastAsia="仿宋_GB2312" w:cs="仿宋_GB2312"/>
          <w:color w:val="auto"/>
          <w:sz w:val="28"/>
          <w:szCs w:val="28"/>
          <w:lang w:val="en-US" w:bidi="ar-SA"/>
        </w:rPr>
        <w:drawing>
          <wp:anchor distT="0" distB="0" distL="0" distR="0" simplePos="0" relativeHeight="251660288" behindDoc="0" locked="0" layoutInCell="1" allowOverlap="1">
            <wp:simplePos x="0" y="0"/>
            <wp:positionH relativeFrom="column">
              <wp:posOffset>241300</wp:posOffset>
            </wp:positionH>
            <wp:positionV relativeFrom="paragraph">
              <wp:posOffset>35560</wp:posOffset>
            </wp:positionV>
            <wp:extent cx="2197735" cy="1800225"/>
            <wp:effectExtent l="0" t="0" r="12065" b="13335"/>
            <wp:wrapTopAndBottom/>
            <wp:docPr id="1027" name="图片 5"/>
            <wp:cNvGraphicFramePr/>
            <a:graphic xmlns:a="http://schemas.openxmlformats.org/drawingml/2006/main">
              <a:graphicData uri="http://schemas.openxmlformats.org/drawingml/2006/picture">
                <pic:pic xmlns:pic="http://schemas.openxmlformats.org/drawingml/2006/picture">
                  <pic:nvPicPr>
                    <pic:cNvPr id="1027" name="图片 5"/>
                    <pic:cNvPicPr/>
                  </pic:nvPicPr>
                  <pic:blipFill>
                    <a:blip r:embed="rId7" cstate="print"/>
                    <a:srcRect/>
                    <a:stretch>
                      <a:fillRect/>
                    </a:stretch>
                  </pic:blipFill>
                  <pic:spPr>
                    <a:xfrm>
                      <a:off x="0" y="0"/>
                      <a:ext cx="2197735" cy="1800225"/>
                    </a:xfrm>
                    <a:prstGeom prst="rect">
                      <a:avLst/>
                    </a:prstGeom>
                    <a:ln>
                      <a:noFill/>
                    </a:ln>
                  </pic:spPr>
                </pic:pic>
              </a:graphicData>
            </a:graphic>
          </wp:anchor>
        </w:drawing>
      </w:r>
      <w:r>
        <w:rPr>
          <w:rFonts w:hint="eastAsia" w:ascii="仿宋_GB2312" w:hAnsi="仿宋_GB2312" w:eastAsia="仿宋_GB2312" w:cs="仿宋_GB2312"/>
          <w:color w:val="auto"/>
          <w:sz w:val="28"/>
          <w:szCs w:val="28"/>
          <w:lang w:val="en-US"/>
        </w:rPr>
        <w:t>2 主题简介</w:t>
      </w:r>
    </w:p>
    <w:p>
      <w:pPr>
        <w:pStyle w:val="3"/>
        <w:tabs>
          <w:tab w:val="left" w:pos="876"/>
        </w:tabs>
        <w:spacing w:line="360" w:lineRule="auto"/>
        <w:ind w:left="0" w:firstLine="480" w:firstLineChars="200"/>
        <w:rPr>
          <w:rFonts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现代工厂生产和物流行业大量使用搬运机器人，节省了大量的人力，降低了工人的劳动强度，同时极大的提高了工作效率。参赛选手自主设计一台搬运机器人，通过编写程序，自主完成物品的分类</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搬运、堆叠任务。</w:t>
      </w:r>
    </w:p>
    <w:p>
      <w:pPr>
        <w:pStyle w:val="3"/>
        <w:tabs>
          <w:tab w:val="left" w:pos="876"/>
        </w:tabs>
        <w:spacing w:line="360" w:lineRule="auto"/>
        <w:ind w:left="0" w:firstLine="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rPr>
        <w:t xml:space="preserve">3 </w:t>
      </w:r>
      <w:r>
        <w:rPr>
          <w:rFonts w:hint="eastAsia" w:ascii="仿宋_GB2312" w:hAnsi="仿宋_GB2312" w:eastAsia="仿宋_GB2312" w:cs="仿宋_GB2312"/>
          <w:color w:val="auto"/>
          <w:sz w:val="28"/>
          <w:szCs w:val="28"/>
        </w:rPr>
        <w:t>场地与环境</w:t>
      </w:r>
    </w:p>
    <w:p>
      <w:pPr>
        <w:pStyle w:val="3"/>
        <w:tabs>
          <w:tab w:val="left" w:pos="876"/>
        </w:tabs>
        <w:spacing w:line="360" w:lineRule="auto"/>
        <w:ind w:left="0" w:firstLine="482"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 xml:space="preserve">3.1 </w:t>
      </w:r>
      <w:r>
        <w:rPr>
          <w:rFonts w:hint="eastAsia" w:ascii="仿宋_GB2312" w:hAnsi="仿宋_GB2312" w:eastAsia="仿宋_GB2312" w:cs="仿宋_GB2312"/>
          <w:color w:val="auto"/>
          <w:sz w:val="24"/>
          <w:szCs w:val="24"/>
        </w:rPr>
        <w:t>场地构成</w:t>
      </w:r>
    </w:p>
    <w:p>
      <w:pPr>
        <w:pStyle w:val="3"/>
        <w:tabs>
          <w:tab w:val="left" w:pos="876"/>
        </w:tabs>
        <w:spacing w:line="360" w:lineRule="auto"/>
        <w:ind w:left="0" w:firstLine="480" w:firstLineChars="200"/>
        <w:rPr>
          <w:rFonts w:ascii="仿宋_GB2312" w:hAnsi="仿宋_GB2312" w:eastAsia="仿宋_GB2312" w:cs="仿宋_GB2312"/>
          <w:b w:val="0"/>
          <w:bCs w:val="0"/>
          <w:color w:val="auto"/>
          <w:sz w:val="24"/>
          <w:szCs w:val="24"/>
          <w:lang w:val="en-US"/>
        </w:rPr>
      </w:pPr>
      <w:r>
        <w:rPr>
          <w:rFonts w:hint="eastAsia" w:ascii="仿宋_GB2312" w:hAnsi="仿宋_GB2312" w:eastAsia="仿宋_GB2312" w:cs="仿宋_GB2312"/>
          <w:b w:val="0"/>
          <w:bCs w:val="0"/>
          <w:color w:val="auto"/>
          <w:sz w:val="24"/>
          <w:szCs w:val="24"/>
        </w:rPr>
        <w:t>3.1.1 比赛场地为</w:t>
      </w:r>
      <w:r>
        <w:rPr>
          <w:rFonts w:hint="eastAsia" w:ascii="仿宋_GB2312" w:hAnsi="仿宋_GB2312" w:eastAsia="仿宋_GB2312" w:cs="仿宋_GB2312"/>
          <w:b w:val="0"/>
          <w:bCs w:val="0"/>
          <w:color w:val="auto"/>
          <w:sz w:val="24"/>
          <w:szCs w:val="24"/>
          <w:lang w:val="en-US"/>
        </w:rPr>
        <w:t>长方形，长宽尺寸约是2362mm×1143mm，线宽20mm。比赛场地四周没有围栏。场地材质是喷绘布。为便于说明，图中场地各区域添加了文字说明，实际场地图中各区域无文字，如图1、图2所示。</w:t>
      </w:r>
    </w:p>
    <w:p>
      <w:pPr>
        <w:pStyle w:val="3"/>
        <w:tabs>
          <w:tab w:val="left" w:pos="876"/>
        </w:tabs>
        <w:spacing w:line="360" w:lineRule="auto"/>
        <w:ind w:left="0" w:firstLine="0"/>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bidi="ar-SA"/>
        </w:rPr>
        <w:drawing>
          <wp:inline distT="0" distB="0" distL="114300" distR="114300">
            <wp:extent cx="4463415" cy="2160270"/>
            <wp:effectExtent l="0" t="0" r="1905" b="3810"/>
            <wp:docPr id="14" name="图片 14" descr="a07dfafa648ec0977f999d3d1e635e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07dfafa648ec0977f999d3d1e635e27_"/>
                    <pic:cNvPicPr>
                      <a:picLocks noChangeAspect="1"/>
                    </pic:cNvPicPr>
                  </pic:nvPicPr>
                  <pic:blipFill>
                    <a:blip r:embed="rId8"/>
                    <a:stretch>
                      <a:fillRect/>
                    </a:stretch>
                  </pic:blipFill>
                  <pic:spPr>
                    <a:xfrm>
                      <a:off x="0" y="0"/>
                      <a:ext cx="4463415" cy="2160270"/>
                    </a:xfrm>
                    <a:prstGeom prst="rect">
                      <a:avLst/>
                    </a:prstGeom>
                  </pic:spPr>
                </pic:pic>
              </a:graphicData>
            </a:graphic>
          </wp:inline>
        </w:drawing>
      </w:r>
    </w:p>
    <w:p>
      <w:pPr>
        <w:pStyle w:val="3"/>
        <w:tabs>
          <w:tab w:val="left" w:pos="876"/>
        </w:tabs>
        <w:spacing w:line="360" w:lineRule="auto"/>
        <w:ind w:left="0" w:firstLine="0"/>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图1 场地俯视图</w:t>
      </w:r>
    </w:p>
    <w:p>
      <w:pPr>
        <w:widowControl/>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bidi="ar-SA"/>
        </w:rPr>
        <w:drawing>
          <wp:inline distT="0" distB="0" distL="114300" distR="114300">
            <wp:extent cx="4908550" cy="2376170"/>
            <wp:effectExtent l="0" t="0" r="13970" b="1270"/>
            <wp:docPr id="15" name="图片 15" descr="52ee7f0abb54ec20c5dea20ce09950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52ee7f0abb54ec20c5dea20ce09950db_"/>
                    <pic:cNvPicPr>
                      <a:picLocks noChangeAspect="1"/>
                    </pic:cNvPicPr>
                  </pic:nvPicPr>
                  <pic:blipFill>
                    <a:blip r:embed="rId9"/>
                    <a:stretch>
                      <a:fillRect/>
                    </a:stretch>
                  </pic:blipFill>
                  <pic:spPr>
                    <a:xfrm>
                      <a:off x="0" y="0"/>
                      <a:ext cx="4908550" cy="2376170"/>
                    </a:xfrm>
                    <a:prstGeom prst="rect">
                      <a:avLst/>
                    </a:prstGeom>
                  </pic:spPr>
                </pic:pic>
              </a:graphicData>
            </a:graphic>
          </wp:inline>
        </w:drawing>
      </w:r>
    </w:p>
    <w:p>
      <w:pPr>
        <w:pStyle w:val="6"/>
        <w:spacing w:line="360" w:lineRule="auto"/>
        <w:ind w:left="0" w:right="469" w:rightChars="213" w:firstLine="482" w:firstLineChars="200"/>
        <w:jc w:val="center"/>
        <w:rPr>
          <w:rFonts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图2 场地各区域示意图</w:t>
      </w:r>
    </w:p>
    <w:p>
      <w:pPr>
        <w:pStyle w:val="6"/>
        <w:spacing w:line="360" w:lineRule="auto"/>
        <w:ind w:left="0" w:right="469" w:rightChars="213" w:firstLine="482" w:firstLineChars="200"/>
        <w:jc w:val="both"/>
        <w:rPr>
          <w:rFonts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3.2 赛场环境</w:t>
      </w:r>
    </w:p>
    <w:p>
      <w:pPr>
        <w:pStyle w:val="3"/>
        <w:tabs>
          <w:tab w:val="left" w:pos="876"/>
        </w:tabs>
        <w:spacing w:line="360" w:lineRule="auto"/>
        <w:ind w:left="0" w:firstLine="480" w:firstLineChars="200"/>
        <w:rPr>
          <w:rFonts w:ascii="仿宋_GB2312" w:hAnsi="仿宋_GB2312" w:eastAsia="仿宋_GB2312" w:cs="仿宋_GB2312"/>
          <w:b w:val="0"/>
          <w:bCs w:val="0"/>
          <w:color w:val="auto"/>
          <w:sz w:val="24"/>
          <w:szCs w:val="24"/>
          <w:lang w:val="en-US"/>
        </w:rPr>
      </w:pPr>
      <w:r>
        <w:rPr>
          <w:rFonts w:hint="eastAsia" w:ascii="仿宋_GB2312" w:hAnsi="仿宋_GB2312" w:eastAsia="仿宋_GB2312" w:cs="仿宋_GB2312"/>
          <w:b w:val="0"/>
          <w:bCs w:val="0"/>
          <w:color w:val="auto"/>
          <w:sz w:val="24"/>
          <w:szCs w:val="24"/>
          <w:lang w:val="en-US"/>
        </w:rPr>
        <w:t>机器人比赛场地环境为低照度。由于一般赛场环境的不确定因素较多，例如：场地纸不平整、地板上有裂缝、光照条件有变化等，参赛队在设计机器人时应考虑各种应对措施。比赛场地尺寸的允许误差是±10mm，参赛队设计机器人时必须充分考虑。</w:t>
      </w:r>
    </w:p>
    <w:p>
      <w:pPr>
        <w:pStyle w:val="3"/>
        <w:tabs>
          <w:tab w:val="left" w:pos="876"/>
        </w:tabs>
        <w:spacing w:line="360" w:lineRule="auto"/>
        <w:ind w:left="0" w:firstLine="482" w:firstLineChars="200"/>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3.3 任务道具</w:t>
      </w:r>
    </w:p>
    <w:p>
      <w:pPr>
        <w:pStyle w:val="3"/>
        <w:tabs>
          <w:tab w:val="left" w:pos="876"/>
        </w:tabs>
        <w:spacing w:line="360" w:lineRule="auto"/>
        <w:ind w:left="0" w:firstLine="482" w:firstLineChars="200"/>
        <w:rPr>
          <w:rFonts w:ascii="仿宋_GB2312" w:hAnsi="仿宋_GB2312" w:eastAsia="仿宋_GB2312" w:cs="仿宋_GB2312"/>
          <w:color w:val="auto"/>
          <w:sz w:val="24"/>
          <w:szCs w:val="24"/>
          <w:lang w:val="en-US" w:bidi="ar-SA"/>
        </w:rPr>
      </w:pPr>
      <w:r>
        <w:rPr>
          <w:rFonts w:hint="eastAsia" w:ascii="仿宋_GB2312" w:hAnsi="仿宋_GB2312" w:eastAsia="仿宋_GB2312" w:cs="仿宋_GB2312"/>
          <w:color w:val="auto"/>
          <w:sz w:val="24"/>
          <w:szCs w:val="24"/>
          <w:lang w:val="en-US"/>
        </w:rPr>
        <w:t>方块：</w:t>
      </w:r>
      <w:r>
        <w:rPr>
          <w:rFonts w:hint="eastAsia" w:ascii="仿宋_GB2312" w:hAnsi="仿宋_GB2312" w:eastAsia="仿宋_GB2312" w:cs="仿宋_GB2312"/>
          <w:b w:val="0"/>
          <w:bCs w:val="0"/>
          <w:color w:val="auto"/>
          <w:sz w:val="24"/>
          <w:szCs w:val="24"/>
          <w:lang w:val="en-US"/>
        </w:rPr>
        <w:t>棱长40mm的EVA材质立方体重约5(±1)克，有红、绿、蓝三种颜色若干个，某色方块为参赛队本次比赛的得分物。</w:t>
      </w:r>
    </w:p>
    <w:p>
      <w:pPr>
        <w:widowControl/>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bidi="ar-SA"/>
        </w:rPr>
        <w:drawing>
          <wp:inline distT="0" distB="0" distL="114300" distR="114300">
            <wp:extent cx="4319905" cy="1298575"/>
            <wp:effectExtent l="0" t="0" r="8255" b="12065"/>
            <wp:docPr id="10" name="图片 10" descr="色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色饼"/>
                    <pic:cNvPicPr>
                      <a:picLocks noChangeAspect="1"/>
                    </pic:cNvPicPr>
                  </pic:nvPicPr>
                  <pic:blipFill>
                    <a:blip r:embed="rId10"/>
                    <a:srcRect l="5981" t="31446" r="11781" b="32381"/>
                    <a:stretch>
                      <a:fillRect/>
                    </a:stretch>
                  </pic:blipFill>
                  <pic:spPr>
                    <a:xfrm>
                      <a:off x="0" y="0"/>
                      <a:ext cx="4319905" cy="1298575"/>
                    </a:xfrm>
                    <a:prstGeom prst="rect">
                      <a:avLst/>
                    </a:prstGeom>
                  </pic:spPr>
                </pic:pic>
              </a:graphicData>
            </a:graphic>
          </wp:inline>
        </w:drawing>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图3 方块示意图</w:t>
      </w:r>
    </w:p>
    <w:p>
      <w:pPr>
        <w:widowControl/>
        <w:spacing w:line="360" w:lineRule="auto"/>
        <w:ind w:firstLine="482" w:firstLineChars="200"/>
        <w:jc w:val="left"/>
        <w:rPr>
          <w:rFonts w:hint="eastAsia" w:ascii="仿宋_GB2312" w:hAnsi="仿宋_GB2312" w:eastAsia="仿宋_GB2312" w:cs="仿宋_GB2312"/>
          <w:b w:val="0"/>
          <w:bCs w:val="0"/>
          <w:color w:val="auto"/>
          <w:sz w:val="24"/>
          <w:szCs w:val="24"/>
          <w:lang w:val="en-US" w:eastAsia="zh-CN" w:bidi="zh-CN"/>
        </w:rPr>
      </w:pPr>
      <w:r>
        <w:rPr>
          <w:rFonts w:hint="eastAsia" w:ascii="仿宋_GB2312" w:hAnsi="仿宋_GB2312" w:eastAsia="仿宋_GB2312" w:cs="仿宋_GB2312"/>
          <w:b/>
          <w:bCs/>
          <w:color w:val="auto"/>
          <w:sz w:val="24"/>
          <w:szCs w:val="24"/>
          <w:lang w:val="en-US" w:eastAsia="zh-CN" w:bidi="zh-CN"/>
        </w:rPr>
        <w:t>色饼：</w:t>
      </w:r>
      <w:r>
        <w:rPr>
          <w:rFonts w:hint="eastAsia" w:ascii="仿宋_GB2312" w:hAnsi="仿宋_GB2312" w:eastAsia="仿宋_GB2312" w:cs="仿宋_GB2312"/>
          <w:b w:val="0"/>
          <w:bCs w:val="0"/>
          <w:color w:val="auto"/>
          <w:sz w:val="24"/>
          <w:szCs w:val="24"/>
          <w:lang w:val="en-US" w:eastAsia="zh-CN" w:bidi="zh-CN"/>
        </w:rPr>
        <w:t>直径80mm、厚度为10mm的亚克力材质圆柱体，有红、绿、蓝三种颜色，其决定参赛队本次比赛所需抓取方块的颜色。</w:t>
      </w:r>
    </w:p>
    <w:p>
      <w:pPr>
        <w:widowControl/>
        <w:spacing w:line="360" w:lineRule="auto"/>
        <w:ind w:firstLine="482" w:firstLineChars="200"/>
        <w:jc w:val="center"/>
        <w:rPr>
          <w:rFonts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bidi="ar-SA"/>
        </w:rPr>
        <w:drawing>
          <wp:inline distT="0" distB="0" distL="114300" distR="114300">
            <wp:extent cx="4817745" cy="1080135"/>
            <wp:effectExtent l="0" t="0" r="13335" b="1905"/>
            <wp:docPr id="2" name="图片 2" descr="色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色饼"/>
                    <pic:cNvPicPr>
                      <a:picLocks noChangeAspect="1"/>
                    </pic:cNvPicPr>
                  </pic:nvPicPr>
                  <pic:blipFill>
                    <a:blip r:embed="rId11"/>
                    <a:srcRect l="14191" t="37235" r="13962" b="37500"/>
                    <a:stretch>
                      <a:fillRect/>
                    </a:stretch>
                  </pic:blipFill>
                  <pic:spPr>
                    <a:xfrm>
                      <a:off x="0" y="0"/>
                      <a:ext cx="4817745" cy="1080135"/>
                    </a:xfrm>
                    <a:prstGeom prst="rect">
                      <a:avLst/>
                    </a:prstGeom>
                  </pic:spPr>
                </pic:pic>
              </a:graphicData>
            </a:graphic>
          </wp:inline>
        </w:drawing>
      </w:r>
    </w:p>
    <w:p>
      <w:pPr>
        <w:widowControl/>
        <w:spacing w:line="360" w:lineRule="auto"/>
        <w:jc w:val="center"/>
        <w:rPr>
          <w:rFonts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图4 色饼示意图</w:t>
      </w:r>
    </w:p>
    <w:p>
      <w:pPr>
        <w:widowControl/>
        <w:spacing w:line="360" w:lineRule="auto"/>
        <w:jc w:val="center"/>
        <w:rPr>
          <w:rFonts w:hint="eastAsia" w:ascii="仿宋_GB2312" w:hAnsi="仿宋_GB2312" w:eastAsia="仿宋_GB2312" w:cs="仿宋_GB2312"/>
          <w:color w:val="auto"/>
          <w:sz w:val="24"/>
          <w:szCs w:val="24"/>
          <w:lang w:val="en-US" w:bidi="ar-SA"/>
        </w:rPr>
      </w:pPr>
      <w:r>
        <w:rPr>
          <w:rFonts w:hint="eastAsia" w:ascii="仿宋_GB2312" w:hAnsi="仿宋_GB2312" w:eastAsia="仿宋_GB2312" w:cs="仿宋_GB2312"/>
          <w:color w:val="auto"/>
          <w:sz w:val="24"/>
          <w:szCs w:val="24"/>
          <w:lang w:val="en-US" w:bidi="ar-SA"/>
        </w:rPr>
        <w:drawing>
          <wp:inline distT="0" distB="0" distL="114300" distR="114300">
            <wp:extent cx="4809490" cy="2376170"/>
            <wp:effectExtent l="0" t="0" r="6350" b="1270"/>
            <wp:docPr id="1" name="图片 1" descr="d45122ac60127eebefab2029eb994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45122ac60127eebefab2029eb994b1"/>
                    <pic:cNvPicPr>
                      <a:picLocks noChangeAspect="1"/>
                    </pic:cNvPicPr>
                  </pic:nvPicPr>
                  <pic:blipFill>
                    <a:blip r:embed="rId12"/>
                    <a:stretch>
                      <a:fillRect/>
                    </a:stretch>
                  </pic:blipFill>
                  <pic:spPr>
                    <a:xfrm>
                      <a:off x="0" y="0"/>
                      <a:ext cx="4809490" cy="2376170"/>
                    </a:xfrm>
                    <a:prstGeom prst="rect">
                      <a:avLst/>
                    </a:prstGeom>
                  </pic:spPr>
                </pic:pic>
              </a:graphicData>
            </a:graphic>
          </wp:inline>
        </w:drawing>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图5 初中组抽签示意图</w:t>
      </w:r>
    </w:p>
    <w:p>
      <w:pPr>
        <w:widowControl/>
        <w:spacing w:line="360" w:lineRule="auto"/>
        <w:jc w:val="both"/>
        <w:rPr>
          <w:rFonts w:hint="eastAsia" w:ascii="仿宋_GB2312" w:hAnsi="仿宋_GB2312" w:eastAsia="仿宋_GB2312" w:cs="仿宋_GB2312"/>
          <w:b/>
          <w:bCs/>
          <w:color w:val="auto"/>
          <w:sz w:val="28"/>
          <w:szCs w:val="28"/>
          <w:lang w:val="en-US"/>
        </w:rPr>
      </w:pPr>
      <w:r>
        <w:rPr>
          <w:rFonts w:hint="eastAsia" w:ascii="仿宋_GB2312" w:hAnsi="仿宋_GB2312" w:eastAsia="仿宋_GB2312" w:cs="仿宋_GB2312"/>
          <w:b/>
          <w:bCs/>
          <w:color w:val="auto"/>
          <w:sz w:val="28"/>
          <w:szCs w:val="28"/>
          <w:lang w:val="en-US"/>
        </w:rPr>
        <w:t>4 任务描述</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4.1 小学组：</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机器人从出发区出发，移动至颜色识别区（颜色识别区的色饼颜色启动前抽签决定）识别色饼颜色后，移动至三个摆放区（调试前抽签决定）各抓取一个和色饼颜色对应的方块（各摆放区摆放点位置对应的方块颜色调试前抽签决定）送至指定放置区（调试前抽签决定），并在放置区将方块堆叠成“日”造型（基本有效造型）或“品”造型（挑战有效造型）。机器人在出发区启动，完成任务全程可不沿黑色引导线移动。方块从搬起至放置区过程中，不得与地面接触。机器人完成放置后停止计时（由队员主动喊停或裁判目测判断）。</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4.2 初中组：</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机器人从出发区出发，移动至颜色识别区（颜色识别区的色饼颜色启动前抽签决定）识别色饼颜色后，移动至四个摆放区（调试前抽签决定）各抓取一个和色饼颜色对应的方块（各摆放区摆放点位置对应的方块颜色调试前抽签决定）送至指定放置区（调试前抽签决定），并在放置区将方块堆叠成“日”造型（基本有效造型）或“⊥”造型（挑战有效造型）。机器人在出发区启动，完成任务全程可不沿黑色引导线移动。方块从搬起至放置区过程中，不得与地面接触。机器人完成放置后停止计时（由队员主动喊停或裁判目测判断）。</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4.3 高中组：</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机器人从出发区出发，移动至颜色识别区（颜色识别区的色饼颜色启动前抽签决定）识别色饼颜色后，移动至六个摆放区各抓取一个和色饼颜色对应的方块（各摆放区摆放点位置对应的方块颜色调试前抽签决定）送至指定放置区（调试前抽签决定），并在放置区将方块堆叠成“|”造型（基本有效造型）或三层（下三中二上一）“品”造型（挑战有效造型）。机器人在出发区启动，完成任务全程可不沿黑色引导线移动。方块从搬起至放置区过程中，不得与地面接触。机器人完成放置后停止计时（由队员主动喊停或裁判目测判断）。</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说明：根据比赛规则，基本有效造型加分与挑战有效造型加分无法兼得。参赛队伍可以根据自身能力与策略选择完成基本有效造型或挑战有效造型。若二者造型都没有，仅计算方块相应得分。</w:t>
      </w:r>
    </w:p>
    <w:p>
      <w:pPr>
        <w:widowControl/>
        <w:spacing w:line="360" w:lineRule="auto"/>
        <w:jc w:val="both"/>
        <w:rPr>
          <w:rFonts w:hint="eastAsia" w:ascii="仿宋_GB2312" w:hAnsi="仿宋_GB2312" w:eastAsia="仿宋_GB2312" w:cs="仿宋_GB2312"/>
          <w:b/>
          <w:bCs/>
          <w:color w:val="auto"/>
          <w:sz w:val="28"/>
          <w:szCs w:val="28"/>
          <w:lang w:val="en-US"/>
        </w:rPr>
      </w:pPr>
      <w:r>
        <w:rPr>
          <w:rFonts w:hint="eastAsia" w:ascii="仿宋_GB2312" w:hAnsi="仿宋_GB2312" w:eastAsia="仿宋_GB2312" w:cs="仿宋_GB2312"/>
          <w:b/>
          <w:bCs/>
          <w:color w:val="auto"/>
          <w:sz w:val="28"/>
          <w:szCs w:val="28"/>
          <w:lang w:val="en-US"/>
        </w:rPr>
        <w:t>5 名词解释</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5.1 </w:t>
      </w:r>
      <w:r>
        <w:rPr>
          <w:rFonts w:hint="eastAsia" w:ascii="仿宋_GB2312" w:hAnsi="仿宋_GB2312" w:eastAsia="仿宋_GB2312" w:cs="仿宋_GB2312"/>
          <w:b/>
          <w:bCs/>
          <w:color w:val="auto"/>
          <w:sz w:val="24"/>
          <w:szCs w:val="24"/>
          <w:lang w:val="en-US"/>
        </w:rPr>
        <w:t>出发区：</w:t>
      </w:r>
      <w:r>
        <w:rPr>
          <w:rFonts w:hint="eastAsia" w:ascii="仿宋_GB2312" w:hAnsi="仿宋_GB2312" w:eastAsia="仿宋_GB2312" w:cs="仿宋_GB2312"/>
          <w:color w:val="auto"/>
          <w:sz w:val="24"/>
          <w:szCs w:val="24"/>
          <w:lang w:val="en-US"/>
        </w:rPr>
        <w:t>300mm*300mm的区域表示机器启动位置。参赛机器在赛前可放置在出发区内任意区域，但机器人的正投影不得超出出发区黑线。</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5.2 </w:t>
      </w:r>
      <w:r>
        <w:rPr>
          <w:rFonts w:hint="eastAsia" w:ascii="仿宋_GB2312" w:hAnsi="仿宋_GB2312" w:eastAsia="仿宋_GB2312" w:cs="仿宋_GB2312"/>
          <w:b/>
          <w:bCs/>
          <w:color w:val="auto"/>
          <w:sz w:val="24"/>
          <w:szCs w:val="24"/>
          <w:lang w:val="en-US"/>
        </w:rPr>
        <w:t>摆放区：</w:t>
      </w:r>
      <w:r>
        <w:rPr>
          <w:rFonts w:hint="eastAsia" w:ascii="仿宋_GB2312" w:hAnsi="仿宋_GB2312" w:eastAsia="仿宋_GB2312" w:cs="仿宋_GB2312"/>
          <w:color w:val="auto"/>
          <w:sz w:val="24"/>
          <w:szCs w:val="24"/>
          <w:lang w:val="en-US"/>
        </w:rPr>
        <w:t xml:space="preserve"> 待搬运方块摆放的初始区域，共有6个区域。上下六个摆放区上分别有3个边长约40mm的方块摆放标记点。摆放点序号从左到右为1、2、3，分别摆放三种不同颜色方块。</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5.3 </w:t>
      </w:r>
      <w:r>
        <w:rPr>
          <w:rFonts w:hint="eastAsia" w:ascii="仿宋_GB2312" w:hAnsi="仿宋_GB2312" w:eastAsia="仿宋_GB2312" w:cs="仿宋_GB2312"/>
          <w:b/>
          <w:bCs/>
          <w:color w:val="auto"/>
          <w:sz w:val="24"/>
          <w:szCs w:val="24"/>
          <w:lang w:val="en-US"/>
        </w:rPr>
        <w:t>颜色识别区：</w:t>
      </w:r>
      <w:r>
        <w:rPr>
          <w:rFonts w:hint="eastAsia" w:ascii="仿宋_GB2312" w:hAnsi="仿宋_GB2312" w:eastAsia="仿宋_GB2312" w:cs="仿宋_GB2312"/>
          <w:color w:val="auto"/>
          <w:sz w:val="24"/>
          <w:szCs w:val="24"/>
          <w:lang w:val="en-US"/>
        </w:rPr>
        <w:t>待识别抓取方块颜色的区域，中间放置色饼。色饼颜色启动前抽签决定。</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5.4 </w:t>
      </w:r>
      <w:r>
        <w:rPr>
          <w:rFonts w:hint="eastAsia" w:ascii="仿宋_GB2312" w:hAnsi="仿宋_GB2312" w:eastAsia="仿宋_GB2312" w:cs="仿宋_GB2312"/>
          <w:b/>
          <w:bCs/>
          <w:color w:val="auto"/>
          <w:sz w:val="24"/>
          <w:szCs w:val="24"/>
          <w:lang w:val="en-US"/>
        </w:rPr>
        <w:t>放置区：</w:t>
      </w:r>
      <w:r>
        <w:rPr>
          <w:rFonts w:hint="eastAsia" w:ascii="仿宋_GB2312" w:hAnsi="仿宋_GB2312" w:eastAsia="仿宋_GB2312" w:cs="仿宋_GB2312"/>
          <w:color w:val="auto"/>
          <w:sz w:val="24"/>
          <w:szCs w:val="24"/>
          <w:lang w:val="en-US"/>
        </w:rPr>
        <w:t xml:space="preserve"> 200mm×200mm的正方形，共有3个区域。</w:t>
      </w:r>
    </w:p>
    <w:p>
      <w:pPr>
        <w:widowControl/>
        <w:spacing w:line="360" w:lineRule="auto"/>
        <w:ind w:firstLine="482" w:firstLineChars="200"/>
        <w:jc w:val="both"/>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 xml:space="preserve">5.5 </w:t>
      </w:r>
      <w:r>
        <w:rPr>
          <w:rFonts w:hint="eastAsia" w:ascii="仿宋_GB2312" w:hAnsi="仿宋_GB2312" w:eastAsia="仿宋_GB2312" w:cs="仿宋_GB2312"/>
          <w:b/>
          <w:bCs/>
          <w:color w:val="auto"/>
          <w:sz w:val="24"/>
          <w:szCs w:val="24"/>
          <w:lang w:val="en-US"/>
        </w:rPr>
        <w:t>非接触式启动：</w:t>
      </w:r>
      <w:r>
        <w:rPr>
          <w:rFonts w:hint="eastAsia" w:ascii="仿宋_GB2312" w:hAnsi="仿宋_GB2312" w:eastAsia="仿宋_GB2312" w:cs="仿宋_GB2312"/>
          <w:color w:val="auto"/>
          <w:sz w:val="24"/>
          <w:szCs w:val="24"/>
          <w:lang w:val="en-US"/>
        </w:rPr>
        <w:t>参赛队在比赛前须将机器人放置在出发区，并运行等待程序。待色饼颜色抽签结束后，放置色饼，听从裁判口令，采用不触碰机器人或任何设备的方式启动机器人开始完成任务。</w:t>
      </w:r>
      <w:r>
        <w:rPr>
          <w:rFonts w:hint="eastAsia" w:ascii="仿宋_GB2312" w:hAnsi="仿宋_GB2312" w:eastAsia="仿宋_GB2312" w:cs="仿宋_GB2312"/>
          <w:color w:val="auto"/>
          <w:sz w:val="24"/>
          <w:szCs w:val="24"/>
          <w:lang w:val="en-US" w:eastAsia="zh-CN"/>
        </w:rPr>
        <w:t>色饼抽签前，参赛队须提前告知裁判采用何种非接触式启动方式，且只允许采用已告知裁判的方式。</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5.6 </w:t>
      </w:r>
      <w:r>
        <w:rPr>
          <w:rFonts w:hint="eastAsia" w:ascii="仿宋_GB2312" w:hAnsi="仿宋_GB2312" w:eastAsia="仿宋_GB2312" w:cs="仿宋_GB2312"/>
          <w:b/>
          <w:bCs/>
          <w:color w:val="auto"/>
          <w:sz w:val="24"/>
          <w:szCs w:val="24"/>
          <w:lang w:val="en-US"/>
        </w:rPr>
        <w:t>比赛：</w:t>
      </w:r>
      <w:r>
        <w:rPr>
          <w:rFonts w:hint="eastAsia" w:ascii="仿宋_GB2312" w:hAnsi="仿宋_GB2312" w:eastAsia="仿宋_GB2312" w:cs="仿宋_GB2312"/>
          <w:color w:val="auto"/>
          <w:sz w:val="24"/>
          <w:szCs w:val="24"/>
          <w:lang w:val="en-US"/>
        </w:rPr>
        <w:t>每场比赛为自动程序比赛，总时长是120秒。</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5.7 </w:t>
      </w:r>
      <w:r>
        <w:rPr>
          <w:rFonts w:hint="eastAsia" w:ascii="仿宋_GB2312" w:hAnsi="仿宋_GB2312" w:eastAsia="仿宋_GB2312" w:cs="仿宋_GB2312"/>
          <w:b/>
          <w:bCs/>
          <w:color w:val="auto"/>
          <w:sz w:val="24"/>
          <w:szCs w:val="24"/>
          <w:lang w:val="en-US"/>
        </w:rPr>
        <w:t>影响比赛：</w:t>
      </w:r>
      <w:r>
        <w:rPr>
          <w:rFonts w:hint="eastAsia" w:ascii="仿宋_GB2312" w:hAnsi="仿宋_GB2312" w:eastAsia="仿宋_GB2312" w:cs="仿宋_GB2312"/>
          <w:color w:val="auto"/>
          <w:sz w:val="24"/>
          <w:szCs w:val="24"/>
          <w:lang w:val="en-US"/>
        </w:rPr>
        <w:t>导致一场比赛得分改变的情况。</w:t>
      </w:r>
    </w:p>
    <w:p>
      <w:pPr>
        <w:widowControl/>
        <w:spacing w:line="360" w:lineRule="auto"/>
        <w:ind w:firstLine="482"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lang w:val="en-US" w:eastAsia="zh-CN"/>
        </w:rPr>
        <w:t xml:space="preserve">5.8 </w:t>
      </w:r>
      <w:r>
        <w:rPr>
          <w:rFonts w:hint="eastAsia" w:ascii="仿宋_GB2312" w:hAnsi="仿宋_GB2312" w:eastAsia="仿宋_GB2312" w:cs="仿宋_GB2312"/>
          <w:b/>
          <w:bCs/>
          <w:color w:val="auto"/>
          <w:sz w:val="24"/>
          <w:szCs w:val="24"/>
          <w:lang w:val="en-US"/>
        </w:rPr>
        <w:t>取消比赛资格：</w:t>
      </w:r>
      <w:r>
        <w:rPr>
          <w:rFonts w:hint="eastAsia" w:ascii="仿宋_GB2312" w:hAnsi="仿宋_GB2312" w:eastAsia="仿宋_GB2312" w:cs="仿宋_GB2312"/>
          <w:color w:val="auto"/>
          <w:sz w:val="24"/>
          <w:szCs w:val="24"/>
          <w:lang w:val="en-US"/>
        </w:rPr>
        <w:t>对违反规则的参赛队给予的犯规处罚。在裁判长的酌定下，反复犯规和被取消比赛资格的某一参赛队可能被禁止参加所有后续场次的比赛。</w:t>
      </w:r>
    </w:p>
    <w:p>
      <w:pPr>
        <w:widowControl/>
        <w:spacing w:line="360" w:lineRule="auto"/>
        <w:jc w:val="both"/>
        <w:rPr>
          <w:rFonts w:hint="eastAsia" w:ascii="仿宋_GB2312" w:hAnsi="仿宋_GB2312" w:eastAsia="仿宋_GB2312" w:cs="仿宋_GB2312"/>
          <w:b/>
          <w:bCs/>
          <w:color w:val="auto"/>
          <w:sz w:val="28"/>
          <w:szCs w:val="28"/>
          <w:lang w:val="en-US"/>
        </w:rPr>
      </w:pPr>
      <w:r>
        <w:rPr>
          <w:rFonts w:hint="eastAsia" w:ascii="仿宋_GB2312" w:hAnsi="仿宋_GB2312" w:eastAsia="仿宋_GB2312" w:cs="仿宋_GB2312"/>
          <w:b/>
          <w:bCs/>
          <w:color w:val="auto"/>
          <w:sz w:val="28"/>
          <w:szCs w:val="28"/>
          <w:lang w:val="en-US"/>
        </w:rPr>
        <w:t>6 机器人</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6.1 机器人硬件要求</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6.1.1 符合轮式或履带式机器人定义均可参加。</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6.1.2 除使用图像传感器（摄像头）或其他视觉传感器外，机器人仅限使用一个控制器。</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6.1.3 机器人在出发区内的最大尺寸长、宽、高分别为 300mm×300mm×300mm，离开出发区后尺寸不再限制，重量不限。 </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6.1.4 机器人必须使用电池供电，其电压不超过12V。</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6.1.5 机器人须以散件进场，参赛队员现场组装。</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6.2 机器人软件要求</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机器人编程环境不限，参赛选手自己携带安装好编程软件的电脑，程序必须是比赛现场完成编写的。</w:t>
      </w:r>
    </w:p>
    <w:p>
      <w:pPr>
        <w:widowControl/>
        <w:spacing w:line="360" w:lineRule="auto"/>
        <w:jc w:val="both"/>
        <w:rPr>
          <w:rFonts w:hint="eastAsia" w:ascii="仿宋_GB2312" w:hAnsi="仿宋_GB2312" w:eastAsia="仿宋_GB2312" w:cs="仿宋_GB2312"/>
          <w:b/>
          <w:bCs/>
          <w:color w:val="auto"/>
          <w:sz w:val="28"/>
          <w:szCs w:val="28"/>
          <w:lang w:val="en-US"/>
        </w:rPr>
      </w:pPr>
      <w:r>
        <w:rPr>
          <w:rFonts w:hint="eastAsia" w:ascii="仿宋_GB2312" w:hAnsi="仿宋_GB2312" w:eastAsia="仿宋_GB2312" w:cs="仿宋_GB2312"/>
          <w:b/>
          <w:bCs/>
          <w:color w:val="auto"/>
          <w:sz w:val="28"/>
          <w:szCs w:val="28"/>
          <w:lang w:val="en-US"/>
        </w:rPr>
        <w:t>7 比赛</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7.1 参赛队</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每支参赛队由2名学生和1名教练员组成。每个队伍准备一台机器人，参赛队员应以积极的心态面对并自主地处理在比赛中遇到的所有问题。</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7.2 赛制与赛程</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7.2.1 比赛将按小学、初中、高中三个组别分别进行。</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7.2.2 比赛分两轮，每轮120秒。最终成绩为两轮相加，取总分（两轮任务相同）。</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7.2.3 比赛分三个阶段：机器人搭建、编程与调试阶段</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val="en-US"/>
        </w:rPr>
        <w:t>机器人封存阶段</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val="en-US"/>
        </w:rPr>
        <w:t>竞赛阶段。</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7.2.4 机器人搭建、编程与调试阶段：总时长120分钟，参赛选手自己搭建、编写程序并调试机器人。</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7.2.5 机器人封存阶段：搭建、编程与调试结束后，参赛选手由裁判员协助在机器人醒目处张贴队伍编号后，上交机器人统一封存。</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7.2.6 竞赛阶段：竞赛分两轮。参赛队确认准备好后须举手示意，裁判员发出指令后，选手方可启动机器人。在裁判员发出指令前启动机器人将受到警告或犯规处罚。</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7.2.7 比赛采用小循环方式，每个参赛队两轮比赛连续进行，中间不得更改与下载程序。</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7.2.8 机器人从出发区出发后，全程可不沿黑色引导线移动完成方块搬运任务（各组别任务数量不同，详见4）。</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7.2.9 检录与抽签：</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参赛队检录后，由裁判员随机选择参赛队员抽签。</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7.2.9.1 小学组、初中组调试前抽取摆放区序号。</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7.2.9.2 调试前抽取三种颜色方块在摆放区上的摆放点。</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7.2.9.3 调试前抽取放置区的序号。</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7.2.9.4 机器人放置在启动区准备比赛时，抽取色饼颜色。</w:t>
      </w:r>
    </w:p>
    <w:p>
      <w:pPr>
        <w:widowControl/>
        <w:spacing w:line="360" w:lineRule="auto"/>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drawing>
          <wp:inline distT="0" distB="0" distL="114300" distR="114300">
            <wp:extent cx="5292090" cy="850265"/>
            <wp:effectExtent l="0" t="0" r="11430" b="3175"/>
            <wp:docPr id="21" name="图片 21" descr="工作簿1_Sheet1(2)"/>
            <wp:cNvGraphicFramePr/>
            <a:graphic xmlns:a="http://schemas.openxmlformats.org/drawingml/2006/main">
              <a:graphicData uri="http://schemas.openxmlformats.org/drawingml/2006/picture">
                <pic:pic xmlns:pic="http://schemas.openxmlformats.org/drawingml/2006/picture">
                  <pic:nvPicPr>
                    <pic:cNvPr id="21" name="图片 21" descr="工作簿1_Sheet1(2)"/>
                    <pic:cNvPicPr/>
                  </pic:nvPicPr>
                  <pic:blipFill>
                    <a:blip r:embed="rId13"/>
                    <a:stretch>
                      <a:fillRect/>
                    </a:stretch>
                  </pic:blipFill>
                  <pic:spPr>
                    <a:xfrm>
                      <a:off x="0" y="0"/>
                      <a:ext cx="5292090" cy="850265"/>
                    </a:xfrm>
                    <a:prstGeom prst="rect">
                      <a:avLst/>
                    </a:prstGeom>
                  </pic:spPr>
                </pic:pic>
              </a:graphicData>
            </a:graphic>
          </wp:inline>
        </w:drawing>
      </w:r>
    </w:p>
    <w:p>
      <w:pPr>
        <w:widowControl/>
        <w:spacing w:line="360" w:lineRule="auto"/>
        <w:ind w:firstLine="482" w:firstLineChars="200"/>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图6 各组别抽签示意图</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7.3 搭建与编程调试</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7.3.1 搭建</w:t>
      </w:r>
      <w:r>
        <w:rPr>
          <w:rFonts w:hint="eastAsia" w:ascii="仿宋_GB2312" w:hAnsi="仿宋_GB2312" w:eastAsia="仿宋_GB2312" w:cs="仿宋_GB2312"/>
          <w:color w:val="auto"/>
          <w:sz w:val="24"/>
          <w:szCs w:val="24"/>
          <w:lang w:val="en-US" w:eastAsia="zh-CN"/>
        </w:rPr>
        <w:t>与</w:t>
      </w:r>
      <w:r>
        <w:rPr>
          <w:rFonts w:hint="eastAsia" w:ascii="仿宋_GB2312" w:hAnsi="仿宋_GB2312" w:eastAsia="仿宋_GB2312" w:cs="仿宋_GB2312"/>
          <w:color w:val="auto"/>
          <w:sz w:val="24"/>
          <w:szCs w:val="24"/>
          <w:lang w:val="en-US"/>
        </w:rPr>
        <w:t>编程调试只能在调试区进行。</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7.3.2 参赛队员检录后方能进入准备区。裁判员对参赛队携带的器材进行检查，所用器材必须符合组委会相关规定与要求。参赛队员只可携带机器人散件进入准备区。如机器人未按标准拆成散件，队员不得入场，需在场外拆装机器人至符合拆装标准，比赛用时不另计时。</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7.3.3 队员不得携带U盘、光盘、无线路由器、手机、相机等存储和通信器材。</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7.3.4 整场比赛参赛队员有120分钟搭建编程和调试的时间。结束后，各参赛队在指定位置封存机器人。封存后不得再修改程序和硬件设备。</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7.4 赛前准备</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7.4.1 每轮比赛前，参赛队伍必须按时到达赛场。在规定时间内未到场的参赛队伍将被视为弃权，成绩记为0分。</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7.4.2 每支参赛队可有2名队员进入比赛区，站立在待命区附近。</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7.4.3 到场的参赛队员应抓紧时间做好启动前的准备工作（例如，将机器人恢复到初始状态放到出发区中等）。</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7.4.4 每轮比赛开始前，机器人必须放在出发区中，且已运行等待程序。待任务方块颜色抽签结束后，由参赛选手自行将抽签决定的色饼放置在颜色识别区，须向裁判员举手示意。</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7.5 启动与比赛</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7.5.1 裁判员确认两个参赛队员均已准备好后，将发出“3、2、1，开始”的倒计数启动口令。随着倒计数的开始，参赛队员听到开始命令的第一个字，即可采用非接触式启动机器人。 </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7.5.2 比赛开始前，所有方块均应放置在抽取的位置，参赛选手应仔细确认。</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7.5.3 比赛开始前，机器人长、宽、高不得超出300mm、300mm、300mm。比赛一旦开始，机器人可以伸展，尺寸不受限制。</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7.5.4 在“开始”命令前启动机器人将被视为“误启动”并受到警告或犯规处罚。</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7.5.5 机器人须采用非接触式启动，不允许使用遥控设备去控制和引导机器人的运行，机器人必须通过程序实现自主运行。 </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7.5.6 机器人启动离开出发区后不一定要循线行走，可自主设计行进路线来完成任务。</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7.5.7 机器人完成比赛任务总时长为 120 秒，机器人在规定时间内完成的任务有效。 </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7.5.8 机器人一旦启动，就只能受自带的控制器中的程序控制。禁止选手在比赛过程中故意接触机器人和场地上的物品（包括场地图），从而改变机器人运行状态或方块得分状态。影响比赛的犯规将被取消比赛资格。</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7.5.9 机器人在120秒内，可尝试完成所有任务以获得更多的分数，比赛期间，已被改变位置与状态的得分物品，不得手动恢复至初始状态。</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7.5.10 机器人在比赛过程中，垂直投影可以离开黑色引导线。</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7.5.11 机器人垂直投影完全离开出发区域后，选手干预机器人自主运行，比赛结束。</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7.6 暂停</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比赛中，参赛队均不得叫暂停。</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7.7 比赛结束</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7.7.1 每场比赛总时间为120秒。</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7.7.2 比赛任务全部完成或机器人无法再完成任务，参赛队员举手并发出“比赛结束”的口头申请，裁判停止计时，则比赛结束。裁判员宣布本轮比赛结束后，参赛选手不得触碰机器人与得分物品。裁判员统计本轮得分，参赛队员确认成绩无误后，均须签字。</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7.7.3 裁判发出“清理场地”的信号后，参赛队员才能进入比赛场地搬动自己的机器人。裁判员和志愿者将场地得分物品恢复到启动前状态，参赛队员应立即准备下一轮比赛。</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7.7.4 结束两轮比赛的参赛队员应立即将机器人搬回封存区，选手回到准备区就坐。</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7.8 计分标准</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7.8.1 搬运1计分：任务方块完全脱离初始标记点，计5分/个</w:t>
      </w:r>
      <w:r>
        <w:rPr>
          <w:rFonts w:hint="eastAsia" w:ascii="仿宋_GB2312" w:hAnsi="仿宋_GB2312" w:eastAsia="仿宋_GB2312" w:cs="仿宋_GB2312"/>
          <w:color w:val="auto"/>
          <w:sz w:val="24"/>
          <w:szCs w:val="24"/>
          <w:lang w:val="en-US" w:eastAsia="zh-CN"/>
        </w:rPr>
        <w:t>（如图7所示）</w:t>
      </w:r>
      <w:r>
        <w:rPr>
          <w:rFonts w:hint="eastAsia" w:ascii="仿宋_GB2312" w:hAnsi="仿宋_GB2312" w:eastAsia="仿宋_GB2312" w:cs="仿宋_GB2312"/>
          <w:color w:val="auto"/>
          <w:sz w:val="24"/>
          <w:szCs w:val="24"/>
          <w:lang w:val="en-US"/>
        </w:rPr>
        <w:t xml:space="preserve">。非任务方块任意部分离开初始标记点，扣5分/个。          </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w:t>
      </w:r>
      <w:r>
        <w:rPr>
          <w:rFonts w:hint="eastAsia" w:ascii="仿宋_GB2312" w:hAnsi="仿宋_GB2312" w:eastAsia="仿宋_GB2312" w:cs="仿宋_GB2312"/>
          <w:color w:val="auto"/>
          <w:sz w:val="24"/>
          <w:szCs w:val="24"/>
          <w:lang w:val="en-US"/>
        </w:rPr>
        <w:drawing>
          <wp:inline distT="0" distB="0" distL="114300" distR="114300">
            <wp:extent cx="4679950" cy="662940"/>
            <wp:effectExtent l="0" t="0" r="13970" b="7620"/>
            <wp:docPr id="23" name="图片 23" descr="未命名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未命名 -111"/>
                    <pic:cNvPicPr>
                      <a:picLocks noChangeAspect="1"/>
                    </pic:cNvPicPr>
                  </pic:nvPicPr>
                  <pic:blipFill>
                    <a:blip r:embed="rId14"/>
                    <a:stretch>
                      <a:fillRect/>
                    </a:stretch>
                  </pic:blipFill>
                  <pic:spPr>
                    <a:xfrm>
                      <a:off x="0" y="0"/>
                      <a:ext cx="4679950" cy="662940"/>
                    </a:xfrm>
                    <a:prstGeom prst="rect">
                      <a:avLst/>
                    </a:prstGeom>
                  </pic:spPr>
                </pic:pic>
              </a:graphicData>
            </a:graphic>
          </wp:inline>
        </w:drawing>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图7 方块完全脱离      图8 方块未完全脱离     图9 方块未完全脱离</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7.8.2 搬运2计分：任务方块完全进入正确放置区，计20分/个；任务方块未完全进入正确放置区，计10分/个。（所有方块位置发生的变化必须由搬运动作实现）</w:t>
      </w:r>
    </w:p>
    <w:p>
      <w:pPr>
        <w:widowControl/>
        <w:spacing w:line="360" w:lineRule="auto"/>
        <w:ind w:firstLine="444" w:firstLineChars="200"/>
        <w:jc w:val="both"/>
        <w:rPr>
          <w:rFonts w:hint="eastAsia" w:ascii="仿宋_GB2312" w:hAnsi="仿宋_GB2312" w:eastAsia="仿宋_GB2312" w:cs="仿宋_GB2312"/>
          <w:color w:val="auto"/>
          <w:spacing w:val="-9"/>
          <w:sz w:val="24"/>
          <w:szCs w:val="24"/>
          <w:lang w:val="en-US" w:bidi="ar-SA"/>
        </w:rPr>
      </w:pPr>
      <w:r>
        <w:rPr>
          <w:rFonts w:hint="eastAsia" w:ascii="仿宋_GB2312" w:hAnsi="仿宋_GB2312" w:eastAsia="仿宋_GB2312" w:cs="仿宋_GB2312"/>
          <w:color w:val="auto"/>
          <w:spacing w:val="-9"/>
          <w:sz w:val="24"/>
          <w:szCs w:val="24"/>
          <w:lang w:val="en-US" w:eastAsia="zh-CN" w:bidi="ar-SA"/>
        </w:rPr>
        <w:t xml:space="preserve">  </w:t>
      </w:r>
      <w:r>
        <w:rPr>
          <w:rFonts w:hint="eastAsia" w:ascii="仿宋_GB2312" w:hAnsi="仿宋_GB2312" w:eastAsia="仿宋_GB2312" w:cs="仿宋_GB2312"/>
          <w:color w:val="auto"/>
          <w:spacing w:val="-9"/>
          <w:sz w:val="24"/>
          <w:szCs w:val="24"/>
          <w:lang w:val="en-US" w:eastAsia="zh-CN" w:bidi="ar-SA"/>
        </w:rPr>
        <w:drawing>
          <wp:inline distT="0" distB="0" distL="114300" distR="114300">
            <wp:extent cx="1077595" cy="1080135"/>
            <wp:effectExtent l="0" t="0" r="4445" b="1905"/>
            <wp:docPr id="6" name="图片 6" descr="245078e7dd8195774ec6b9bea7e5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45078e7dd8195774ec6b9bea7e5570"/>
                    <pic:cNvPicPr>
                      <a:picLocks noChangeAspect="1"/>
                    </pic:cNvPicPr>
                  </pic:nvPicPr>
                  <pic:blipFill>
                    <a:blip r:embed="rId15"/>
                    <a:stretch>
                      <a:fillRect/>
                    </a:stretch>
                  </pic:blipFill>
                  <pic:spPr>
                    <a:xfrm>
                      <a:off x="0" y="0"/>
                      <a:ext cx="1077595" cy="1080135"/>
                    </a:xfrm>
                    <a:prstGeom prst="rect">
                      <a:avLst/>
                    </a:prstGeom>
                  </pic:spPr>
                </pic:pic>
              </a:graphicData>
            </a:graphic>
          </wp:inline>
        </w:drawing>
      </w:r>
      <w:r>
        <w:rPr>
          <w:rFonts w:hint="eastAsia" w:ascii="仿宋_GB2312" w:hAnsi="仿宋_GB2312" w:eastAsia="仿宋_GB2312" w:cs="仿宋_GB2312"/>
          <w:color w:val="auto"/>
          <w:spacing w:val="-9"/>
          <w:sz w:val="24"/>
          <w:szCs w:val="24"/>
          <w:lang w:val="en-US" w:eastAsia="zh-CN" w:bidi="ar-SA"/>
        </w:rPr>
        <w:t xml:space="preserve">       </w:t>
      </w:r>
      <w:bookmarkStart w:id="1" w:name="_GoBack"/>
      <w:bookmarkEnd w:id="1"/>
      <w:r>
        <w:rPr>
          <w:rFonts w:hint="eastAsia" w:ascii="仿宋_GB2312" w:hAnsi="仿宋_GB2312" w:eastAsia="仿宋_GB2312" w:cs="仿宋_GB2312"/>
          <w:color w:val="auto"/>
          <w:spacing w:val="-9"/>
          <w:sz w:val="24"/>
          <w:szCs w:val="24"/>
          <w:lang w:val="en-US" w:eastAsia="zh-CN" w:bidi="ar-SA"/>
        </w:rPr>
        <w:t xml:space="preserve">  </w:t>
      </w:r>
      <w:r>
        <w:rPr>
          <w:rFonts w:hint="eastAsia" w:ascii="仿宋_GB2312" w:hAnsi="仿宋_GB2312" w:eastAsia="仿宋_GB2312" w:cs="仿宋_GB2312"/>
          <w:color w:val="auto"/>
          <w:spacing w:val="-9"/>
          <w:sz w:val="24"/>
          <w:szCs w:val="24"/>
          <w:lang w:val="en-US"/>
        </w:rPr>
        <w:drawing>
          <wp:inline distT="0" distB="0" distL="114300" distR="114300">
            <wp:extent cx="1077595" cy="1080135"/>
            <wp:effectExtent l="0" t="0" r="4445" b="1905"/>
            <wp:docPr id="16" name="图片 16" descr="5ad9d5c1e1831aa918077549edc42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5ad9d5c1e1831aa918077549edc429a"/>
                    <pic:cNvPicPr>
                      <a:picLocks noChangeAspect="1"/>
                    </pic:cNvPicPr>
                  </pic:nvPicPr>
                  <pic:blipFill>
                    <a:blip r:embed="rId16"/>
                    <a:stretch>
                      <a:fillRect/>
                    </a:stretch>
                  </pic:blipFill>
                  <pic:spPr>
                    <a:xfrm>
                      <a:off x="0" y="0"/>
                      <a:ext cx="1077595" cy="1080135"/>
                    </a:xfrm>
                    <a:prstGeom prst="rect">
                      <a:avLst/>
                    </a:prstGeom>
                  </pic:spPr>
                </pic:pic>
              </a:graphicData>
            </a:graphic>
          </wp:inline>
        </w:drawing>
      </w:r>
      <w:r>
        <w:rPr>
          <w:rFonts w:hint="eastAsia" w:ascii="仿宋_GB2312" w:hAnsi="仿宋_GB2312" w:eastAsia="仿宋_GB2312" w:cs="仿宋_GB2312"/>
          <w:color w:val="auto"/>
          <w:spacing w:val="-9"/>
          <w:sz w:val="24"/>
          <w:szCs w:val="24"/>
          <w:lang w:val="en-US" w:eastAsia="zh-CN"/>
        </w:rPr>
        <w:t xml:space="preserve">         </w:t>
      </w:r>
      <w:r>
        <w:rPr>
          <w:rFonts w:hint="eastAsia" w:ascii="仿宋_GB2312" w:hAnsi="仿宋_GB2312" w:eastAsia="仿宋_GB2312" w:cs="仿宋_GB2312"/>
          <w:color w:val="auto"/>
          <w:spacing w:val="-9"/>
          <w:sz w:val="24"/>
          <w:szCs w:val="24"/>
          <w:lang w:val="en-US"/>
        </w:rPr>
        <w:drawing>
          <wp:inline distT="0" distB="0" distL="114300" distR="114300">
            <wp:extent cx="1217930" cy="1080135"/>
            <wp:effectExtent l="0" t="0" r="1270" b="1905"/>
            <wp:docPr id="3" name="图片 3" descr="23ed8c81fe89135827cdc633a80b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3ed8c81fe89135827cdc633a80b934"/>
                    <pic:cNvPicPr>
                      <a:picLocks noChangeAspect="1"/>
                    </pic:cNvPicPr>
                  </pic:nvPicPr>
                  <pic:blipFill>
                    <a:blip r:embed="rId17"/>
                    <a:stretch>
                      <a:fillRect/>
                    </a:stretch>
                  </pic:blipFill>
                  <pic:spPr>
                    <a:xfrm>
                      <a:off x="0" y="0"/>
                      <a:ext cx="1217930" cy="1080135"/>
                    </a:xfrm>
                    <a:prstGeom prst="rect">
                      <a:avLst/>
                    </a:prstGeom>
                  </pic:spPr>
                </pic:pic>
              </a:graphicData>
            </a:graphic>
          </wp:inline>
        </w:drawing>
      </w:r>
      <w:r>
        <w:rPr>
          <w:rFonts w:hint="eastAsia" w:ascii="仿宋_GB2312" w:hAnsi="仿宋_GB2312" w:eastAsia="仿宋_GB2312" w:cs="仿宋_GB2312"/>
          <w:color w:val="auto"/>
          <w:spacing w:val="-9"/>
          <w:sz w:val="24"/>
          <w:szCs w:val="24"/>
          <w:lang w:val="en-US" w:eastAsia="zh-CN" w:bidi="ar-SA"/>
        </w:rPr>
        <w:t xml:space="preserve">         </w:t>
      </w:r>
    </w:p>
    <w:p>
      <w:pPr>
        <w:widowControl/>
        <w:spacing w:line="360" w:lineRule="auto"/>
        <w:ind w:firstLine="482" w:firstLineChars="200"/>
        <w:jc w:val="both"/>
        <w:rPr>
          <w:rFonts w:hint="eastAsia" w:ascii="仿宋_GB2312" w:hAnsi="仿宋_GB2312" w:eastAsia="仿宋_GB2312" w:cs="仿宋_GB2312"/>
          <w:b/>
          <w:bCs/>
          <w:color w:val="auto"/>
          <w:sz w:val="24"/>
          <w:szCs w:val="24"/>
          <w:lang w:val="en-US" w:eastAsia="zh-CN" w:bidi="zh-CN"/>
        </w:rPr>
      </w:pPr>
      <w:r>
        <w:rPr>
          <w:rFonts w:hint="eastAsia" w:ascii="仿宋_GB2312" w:hAnsi="仿宋_GB2312" w:eastAsia="仿宋_GB2312" w:cs="仿宋_GB2312"/>
          <w:b/>
          <w:bCs/>
          <w:color w:val="auto"/>
          <w:sz w:val="24"/>
          <w:szCs w:val="24"/>
          <w:lang w:val="en-US" w:eastAsia="zh-CN" w:bidi="zh-CN"/>
        </w:rPr>
        <w:t>图10 方块完全进入    图11 方块未完全进入    图12 方块未完全进入</w:t>
      </w:r>
    </w:p>
    <w:p>
      <w:pPr>
        <w:widowControl/>
        <w:spacing w:line="360" w:lineRule="auto"/>
        <w:ind w:firstLine="480" w:firstLineChars="200"/>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7.8.3 堆叠计分：堆叠在上层的任务方块完全进入正确放置区，计10分/个；堆叠在上层的任务方块未完全进入正确放置区，计5分/个。</w:t>
      </w:r>
    </w:p>
    <w:p>
      <w:pPr>
        <w:widowControl/>
        <w:spacing w:line="360" w:lineRule="auto"/>
        <w:ind w:firstLine="480" w:firstLineChars="200"/>
        <w:jc w:val="both"/>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7.8.4 有效造型计分：任务方块在正确放置区完成基础有效造型奖励10分（如图13所示），完成挑战有效造型奖励30分（如图14所示</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val="en-US"/>
        </w:rPr>
        <w:t>（组成有效造型的所有方块需完全进入放置区，否则不计奖励得分）</w:t>
      </w:r>
    </w:p>
    <w:p>
      <w:pPr>
        <w:widowControl/>
        <w:spacing w:line="360" w:lineRule="auto"/>
        <w:jc w:val="center"/>
        <w:rPr>
          <w:rFonts w:hint="eastAsia" w:ascii="仿宋_GB2312" w:hAnsi="仿宋_GB2312" w:eastAsia="仿宋_GB2312" w:cs="仿宋_GB2312"/>
          <w:color w:val="auto"/>
          <w:sz w:val="24"/>
          <w:szCs w:val="24"/>
          <w:lang w:val="en-US" w:bidi="ar-SA"/>
        </w:rPr>
      </w:pPr>
      <w:r>
        <w:rPr>
          <w:rFonts w:hint="eastAsia" w:ascii="仿宋_GB2312" w:hAnsi="仿宋_GB2312" w:eastAsia="仿宋_GB2312" w:cs="仿宋_GB2312"/>
          <w:color w:val="auto"/>
          <w:sz w:val="24"/>
          <w:szCs w:val="24"/>
          <w:lang w:val="en-US" w:bidi="ar-SA"/>
        </w:rPr>
        <w:drawing>
          <wp:inline distT="0" distB="0" distL="114300" distR="114300">
            <wp:extent cx="454660" cy="720090"/>
            <wp:effectExtent l="0" t="0" r="2540" b="11430"/>
            <wp:docPr id="5" name="图片 5" descr="11921d9fdfcb1ff76a9e996a8f78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921d9fdfcb1ff76a9e996a8f78769"/>
                    <pic:cNvPicPr>
                      <a:picLocks noChangeAspect="1"/>
                    </pic:cNvPicPr>
                  </pic:nvPicPr>
                  <pic:blipFill>
                    <a:blip r:embed="rId18"/>
                    <a:srcRect l="15471" t="2520" r="9845" b="12601"/>
                    <a:stretch>
                      <a:fillRect/>
                    </a:stretch>
                  </pic:blipFill>
                  <pic:spPr>
                    <a:xfrm flipH="1">
                      <a:off x="0" y="0"/>
                      <a:ext cx="454660" cy="720090"/>
                    </a:xfrm>
                    <a:prstGeom prst="rect">
                      <a:avLst/>
                    </a:prstGeom>
                  </pic:spPr>
                </pic:pic>
              </a:graphicData>
            </a:graphic>
          </wp:inline>
        </w:drawing>
      </w:r>
      <w:r>
        <w:rPr>
          <w:rFonts w:hint="eastAsia" w:ascii="仿宋_GB2312" w:hAnsi="仿宋_GB2312" w:eastAsia="仿宋_GB2312" w:cs="仿宋_GB2312"/>
          <w:color w:val="auto"/>
          <w:sz w:val="24"/>
          <w:szCs w:val="24"/>
          <w:lang w:val="en-US"/>
        </w:rPr>
        <w:t xml:space="preserve">           </w:t>
      </w:r>
      <w:r>
        <w:rPr>
          <w:rFonts w:hint="eastAsia" w:ascii="仿宋_GB2312" w:hAnsi="仿宋_GB2312" w:eastAsia="仿宋_GB2312" w:cs="仿宋_GB2312"/>
          <w:color w:val="auto"/>
          <w:sz w:val="24"/>
          <w:szCs w:val="24"/>
          <w:lang w:val="en-US" w:bidi="ar-SA"/>
        </w:rPr>
        <w:drawing>
          <wp:inline distT="0" distB="0" distL="114300" distR="114300">
            <wp:extent cx="434975" cy="720090"/>
            <wp:effectExtent l="0" t="0" r="6985" b="11430"/>
            <wp:docPr id="7" name="图片 7" descr="566c56819d8784fa4b3fff0f29dfc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66c56819d8784fa4b3fff0f29dfc4e"/>
                    <pic:cNvPicPr>
                      <a:picLocks noChangeAspect="1"/>
                    </pic:cNvPicPr>
                  </pic:nvPicPr>
                  <pic:blipFill>
                    <a:blip r:embed="rId19"/>
                    <a:srcRect l="18634" t="4536" r="6211" b="4536"/>
                    <a:stretch>
                      <a:fillRect/>
                    </a:stretch>
                  </pic:blipFill>
                  <pic:spPr>
                    <a:xfrm>
                      <a:off x="0" y="0"/>
                      <a:ext cx="434975" cy="720090"/>
                    </a:xfrm>
                    <a:prstGeom prst="rect">
                      <a:avLst/>
                    </a:prstGeom>
                  </pic:spPr>
                </pic:pic>
              </a:graphicData>
            </a:graphic>
          </wp:inline>
        </w:drawing>
      </w:r>
      <w:r>
        <w:rPr>
          <w:rFonts w:hint="eastAsia" w:ascii="仿宋_GB2312" w:hAnsi="仿宋_GB2312" w:eastAsia="仿宋_GB2312" w:cs="仿宋_GB2312"/>
          <w:color w:val="auto"/>
          <w:sz w:val="24"/>
          <w:szCs w:val="24"/>
          <w:lang w:val="en-US" w:bidi="ar-SA"/>
        </w:rPr>
        <w:t xml:space="preserve">          </w:t>
      </w:r>
      <w:r>
        <w:rPr>
          <w:rFonts w:hint="eastAsia" w:ascii="仿宋_GB2312" w:hAnsi="仿宋_GB2312" w:eastAsia="仿宋_GB2312" w:cs="仿宋_GB2312"/>
          <w:color w:val="auto"/>
          <w:sz w:val="24"/>
          <w:szCs w:val="24"/>
          <w:lang w:val="en-US"/>
        </w:rPr>
        <w:t xml:space="preserve"> </w:t>
      </w:r>
      <w:r>
        <w:rPr>
          <w:rFonts w:hint="eastAsia" w:ascii="仿宋_GB2312" w:hAnsi="仿宋_GB2312" w:eastAsia="仿宋_GB2312" w:cs="仿宋_GB2312"/>
          <w:color w:val="auto"/>
          <w:sz w:val="24"/>
          <w:szCs w:val="24"/>
          <w:lang w:val="en-US" w:bidi="ar-SA"/>
        </w:rPr>
        <w:drawing>
          <wp:inline distT="0" distB="0" distL="114300" distR="114300">
            <wp:extent cx="447040" cy="935990"/>
            <wp:effectExtent l="0" t="0" r="10160" b="8890"/>
            <wp:docPr id="4" name="图片 4" descr="5b00610c9f9a12ef1ac46a62a9e01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b00610c9f9a12ef1ac46a62a9e01a0"/>
                    <pic:cNvPicPr>
                      <a:picLocks noChangeAspect="1"/>
                    </pic:cNvPicPr>
                  </pic:nvPicPr>
                  <pic:blipFill>
                    <a:blip r:embed="rId20"/>
                    <a:srcRect l="16241" t="4032" r="17015" b="5040"/>
                    <a:stretch>
                      <a:fillRect/>
                    </a:stretch>
                  </pic:blipFill>
                  <pic:spPr>
                    <a:xfrm flipH="1">
                      <a:off x="0" y="0"/>
                      <a:ext cx="447040" cy="935990"/>
                    </a:xfrm>
                    <a:prstGeom prst="rect">
                      <a:avLst/>
                    </a:prstGeom>
                  </pic:spPr>
                </pic:pic>
              </a:graphicData>
            </a:graphic>
          </wp:inline>
        </w:drawing>
      </w:r>
    </w:p>
    <w:p>
      <w:pPr>
        <w:widowControl/>
        <w:spacing w:line="360" w:lineRule="auto"/>
        <w:ind w:firstLine="1928" w:firstLineChars="800"/>
        <w:jc w:val="both"/>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 xml:space="preserve">小学    </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lang w:val="en-US"/>
        </w:rPr>
        <w:t xml:space="preserve">初中  </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lang w:val="en-US"/>
        </w:rPr>
        <w:t xml:space="preserve"> </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lang w:val="en-US"/>
        </w:rPr>
        <w:t>高中</w:t>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图13 基础有效造型示意图</w:t>
      </w:r>
    </w:p>
    <w:p>
      <w:pPr>
        <w:widowControl/>
        <w:spacing w:line="360" w:lineRule="auto"/>
        <w:jc w:val="center"/>
        <w:rPr>
          <w:rFonts w:hint="eastAsia" w:ascii="仿宋_GB2312" w:hAnsi="仿宋_GB2312" w:eastAsia="仿宋_GB2312" w:cs="仿宋_GB2312"/>
          <w:b/>
          <w:bCs/>
          <w:color w:val="auto"/>
          <w:sz w:val="24"/>
          <w:szCs w:val="24"/>
          <w:lang w:val="en-US" w:bidi="ar-SA"/>
        </w:rPr>
      </w:pPr>
      <w:r>
        <w:rPr>
          <w:rFonts w:hint="eastAsia" w:ascii="仿宋_GB2312" w:hAnsi="仿宋_GB2312" w:eastAsia="仿宋_GB2312" w:cs="仿宋_GB2312"/>
          <w:color w:val="auto"/>
          <w:sz w:val="24"/>
          <w:szCs w:val="24"/>
          <w:lang w:val="en-US" w:bidi="ar-SA"/>
        </w:rPr>
        <w:drawing>
          <wp:inline distT="0" distB="0" distL="114300" distR="114300">
            <wp:extent cx="861695" cy="828040"/>
            <wp:effectExtent l="0" t="0" r="6985" b="10160"/>
            <wp:docPr id="8" name="图片 8" descr="9cf5883053a5afaf76a1045812f19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cf5883053a5afaf76a1045812f19f2"/>
                    <pic:cNvPicPr>
                      <a:picLocks noChangeAspect="1"/>
                    </pic:cNvPicPr>
                  </pic:nvPicPr>
                  <pic:blipFill>
                    <a:blip r:embed="rId21"/>
                    <a:srcRect l="5649"/>
                    <a:stretch>
                      <a:fillRect/>
                    </a:stretch>
                  </pic:blipFill>
                  <pic:spPr>
                    <a:xfrm>
                      <a:off x="0" y="0"/>
                      <a:ext cx="861695" cy="828040"/>
                    </a:xfrm>
                    <a:prstGeom prst="rect">
                      <a:avLst/>
                    </a:prstGeom>
                  </pic:spPr>
                </pic:pic>
              </a:graphicData>
            </a:graphic>
          </wp:inline>
        </w:drawing>
      </w:r>
      <w:r>
        <w:rPr>
          <w:rFonts w:hint="eastAsia" w:ascii="仿宋_GB2312" w:hAnsi="仿宋_GB2312" w:eastAsia="仿宋_GB2312" w:cs="仿宋_GB2312"/>
          <w:color w:val="auto"/>
          <w:sz w:val="24"/>
          <w:szCs w:val="24"/>
          <w:lang w:val="en-US" w:bidi="ar-SA"/>
        </w:rPr>
        <w:t xml:space="preserve">      </w:t>
      </w:r>
      <w:r>
        <w:rPr>
          <w:rFonts w:hint="eastAsia" w:ascii="仿宋_GB2312" w:hAnsi="仿宋_GB2312" w:eastAsia="仿宋_GB2312" w:cs="仿宋_GB2312"/>
          <w:color w:val="auto"/>
          <w:sz w:val="24"/>
          <w:szCs w:val="24"/>
          <w:lang w:val="en-US" w:eastAsia="zh-CN" w:bidi="ar-SA"/>
        </w:rPr>
        <w:t xml:space="preserve"> </w:t>
      </w:r>
      <w:r>
        <w:rPr>
          <w:rFonts w:hint="eastAsia" w:ascii="仿宋_GB2312" w:hAnsi="仿宋_GB2312" w:eastAsia="仿宋_GB2312" w:cs="仿宋_GB2312"/>
          <w:color w:val="auto"/>
          <w:sz w:val="24"/>
          <w:szCs w:val="24"/>
          <w:lang w:val="en-US" w:bidi="ar-SA"/>
        </w:rPr>
        <w:t xml:space="preserve"> </w:t>
      </w:r>
      <w:r>
        <w:rPr>
          <w:rFonts w:hint="eastAsia" w:ascii="仿宋_GB2312" w:hAnsi="仿宋_GB2312" w:eastAsia="仿宋_GB2312" w:cs="仿宋_GB2312"/>
          <w:color w:val="auto"/>
          <w:sz w:val="24"/>
          <w:szCs w:val="24"/>
          <w:lang w:val="en-US" w:bidi="ar-SA"/>
        </w:rPr>
        <w:drawing>
          <wp:inline distT="0" distB="0" distL="114300" distR="114300">
            <wp:extent cx="887730" cy="1224280"/>
            <wp:effectExtent l="0" t="0" r="11430" b="10160"/>
            <wp:docPr id="9" name="图片 9" descr="62ca3d1e9de03d6e6bde4e06ca268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2ca3d1e9de03d6e6bde4e06ca268ee"/>
                    <pic:cNvPicPr>
                      <a:picLocks noChangeAspect="1"/>
                    </pic:cNvPicPr>
                  </pic:nvPicPr>
                  <pic:blipFill>
                    <a:blip r:embed="rId22"/>
                    <a:srcRect l="7450" t="-176" r="5111" b="2337"/>
                    <a:stretch>
                      <a:fillRect/>
                    </a:stretch>
                  </pic:blipFill>
                  <pic:spPr>
                    <a:xfrm>
                      <a:off x="0" y="0"/>
                      <a:ext cx="887730" cy="1224280"/>
                    </a:xfrm>
                    <a:prstGeom prst="rect">
                      <a:avLst/>
                    </a:prstGeom>
                  </pic:spPr>
                </pic:pic>
              </a:graphicData>
            </a:graphic>
          </wp:inline>
        </w:drawing>
      </w:r>
      <w:r>
        <w:rPr>
          <w:rFonts w:hint="eastAsia" w:ascii="仿宋_GB2312" w:hAnsi="仿宋_GB2312" w:eastAsia="仿宋_GB2312" w:cs="仿宋_GB2312"/>
          <w:color w:val="auto"/>
          <w:sz w:val="24"/>
          <w:szCs w:val="24"/>
          <w:lang w:val="en-US" w:bidi="ar-SA"/>
        </w:rPr>
        <w:t xml:space="preserve">   </w:t>
      </w:r>
      <w:r>
        <w:rPr>
          <w:rFonts w:hint="eastAsia" w:ascii="仿宋_GB2312" w:hAnsi="仿宋_GB2312" w:eastAsia="仿宋_GB2312" w:cs="仿宋_GB2312"/>
          <w:color w:val="auto"/>
          <w:sz w:val="24"/>
          <w:szCs w:val="24"/>
          <w:lang w:val="en-US" w:eastAsia="zh-CN" w:bidi="ar-SA"/>
        </w:rPr>
        <w:t xml:space="preserve"> </w:t>
      </w:r>
      <w:r>
        <w:rPr>
          <w:rFonts w:hint="eastAsia" w:ascii="仿宋_GB2312" w:hAnsi="仿宋_GB2312" w:eastAsia="仿宋_GB2312" w:cs="仿宋_GB2312"/>
          <w:color w:val="auto"/>
          <w:sz w:val="24"/>
          <w:szCs w:val="24"/>
          <w:lang w:val="en-US" w:bidi="ar-SA"/>
        </w:rPr>
        <w:t xml:space="preserve"> </w:t>
      </w:r>
      <w:r>
        <w:rPr>
          <w:rFonts w:hint="eastAsia" w:ascii="仿宋_GB2312" w:hAnsi="仿宋_GB2312" w:eastAsia="仿宋_GB2312" w:cs="仿宋_GB2312"/>
          <w:b/>
          <w:bCs/>
          <w:color w:val="auto"/>
          <w:sz w:val="24"/>
          <w:szCs w:val="24"/>
          <w:lang w:val="en-US" w:bidi="ar-SA"/>
        </w:rPr>
        <w:drawing>
          <wp:inline distT="0" distB="0" distL="114300" distR="114300">
            <wp:extent cx="1323340" cy="1188085"/>
            <wp:effectExtent l="0" t="0" r="2540" b="635"/>
            <wp:docPr id="24" name="图片 24" descr="45caa332c39722a7bc97a66649f8cf6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45caa332c39722a7bc97a66649f8cf6b_"/>
                    <pic:cNvPicPr>
                      <a:picLocks noChangeAspect="1"/>
                    </pic:cNvPicPr>
                  </pic:nvPicPr>
                  <pic:blipFill>
                    <a:blip r:embed="rId23"/>
                    <a:srcRect l="5327" t="523" r="1466"/>
                    <a:stretch>
                      <a:fillRect/>
                    </a:stretch>
                  </pic:blipFill>
                  <pic:spPr>
                    <a:xfrm>
                      <a:off x="0" y="0"/>
                      <a:ext cx="1323340" cy="1188085"/>
                    </a:xfrm>
                    <a:prstGeom prst="rect">
                      <a:avLst/>
                    </a:prstGeom>
                  </pic:spPr>
                </pic:pic>
              </a:graphicData>
            </a:graphic>
          </wp:inline>
        </w:drawing>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小学               初中               高中</w:t>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图14 挑战有效造型示意图</w:t>
      </w:r>
    </w:p>
    <w:p>
      <w:pPr>
        <w:widowControl/>
        <w:spacing w:line="360" w:lineRule="auto"/>
        <w:ind w:firstLine="481"/>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7.8.5 基础有效造型奖励得分和挑战有效造型奖励得分只计一次。（如图15所示）</w:t>
      </w:r>
    </w:p>
    <w:p>
      <w:pPr>
        <w:widowControl/>
        <w:spacing w:line="360" w:lineRule="auto"/>
        <w:jc w:val="center"/>
        <w:rPr>
          <w:rFonts w:hint="eastAsia" w:ascii="仿宋_GB2312" w:hAnsi="仿宋_GB2312" w:eastAsia="仿宋_GB2312" w:cs="仿宋_GB2312"/>
          <w:b/>
          <w:bCs/>
          <w:color w:val="auto"/>
          <w:sz w:val="24"/>
          <w:szCs w:val="24"/>
          <w:lang w:val="en-US" w:bidi="ar-SA"/>
        </w:rPr>
      </w:pPr>
      <w:r>
        <w:rPr>
          <w:rFonts w:hint="eastAsia" w:ascii="仿宋_GB2312" w:hAnsi="仿宋_GB2312" w:eastAsia="仿宋_GB2312" w:cs="仿宋_GB2312"/>
          <w:b/>
          <w:bCs/>
          <w:color w:val="auto"/>
          <w:sz w:val="24"/>
          <w:szCs w:val="24"/>
          <w:lang w:val="en-US" w:bidi="ar-SA"/>
        </w:rPr>
        <w:drawing>
          <wp:inline distT="0" distB="0" distL="114300" distR="114300">
            <wp:extent cx="1463675" cy="1115695"/>
            <wp:effectExtent l="0" t="0" r="14605" b="12065"/>
            <wp:docPr id="11" name="图片 11" descr="2b6dd3a6959ce4a1b617c591c927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b6dd3a6959ce4a1b617c591c927330"/>
                    <pic:cNvPicPr>
                      <a:picLocks noChangeAspect="1"/>
                    </pic:cNvPicPr>
                  </pic:nvPicPr>
                  <pic:blipFill>
                    <a:blip r:embed="rId24"/>
                    <a:stretch>
                      <a:fillRect/>
                    </a:stretch>
                  </pic:blipFill>
                  <pic:spPr>
                    <a:xfrm>
                      <a:off x="0" y="0"/>
                      <a:ext cx="1463675" cy="1115695"/>
                    </a:xfrm>
                    <a:prstGeom prst="rect">
                      <a:avLst/>
                    </a:prstGeom>
                  </pic:spPr>
                </pic:pic>
              </a:graphicData>
            </a:graphic>
          </wp:inline>
        </w:drawing>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图15 以初中为例：此造型只计算一次基础有效造型得分</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7.8.6 无效“品”造型如图16所示，有效“品”造型如图17所示。此规则适用于小学组“品”造型、初中组“⊥”造型、高中组三层（下三中二上一）“品”造型。</w:t>
      </w:r>
    </w:p>
    <w:p>
      <w:pPr>
        <w:widowControl/>
        <w:spacing w:line="360" w:lineRule="auto"/>
        <w:jc w:val="center"/>
        <w:rPr>
          <w:rFonts w:hint="eastAsia" w:ascii="仿宋_GB2312" w:hAnsi="仿宋_GB2312" w:eastAsia="仿宋_GB2312" w:cs="仿宋_GB2312"/>
          <w:b/>
          <w:bCs/>
          <w:color w:val="auto"/>
          <w:sz w:val="24"/>
          <w:szCs w:val="24"/>
          <w:lang w:val="en-US" w:bidi="ar-SA"/>
        </w:rPr>
      </w:pPr>
      <w:r>
        <w:rPr>
          <w:rFonts w:hint="eastAsia" w:ascii="仿宋_GB2312" w:hAnsi="仿宋_GB2312" w:eastAsia="仿宋_GB2312" w:cs="仿宋_GB2312"/>
          <w:b/>
          <w:bCs/>
          <w:color w:val="auto"/>
          <w:sz w:val="24"/>
          <w:szCs w:val="24"/>
          <w:lang w:val="en-US" w:bidi="ar-SA"/>
        </w:rPr>
        <w:drawing>
          <wp:inline distT="0" distB="0" distL="114300" distR="114300">
            <wp:extent cx="1315720" cy="1070610"/>
            <wp:effectExtent l="0" t="0" r="10160" b="11430"/>
            <wp:docPr id="12" name="图片 12" descr="2243f1b40119f65cb5893eb46f38b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243f1b40119f65cb5893eb46f38bec"/>
                    <pic:cNvPicPr>
                      <a:picLocks noChangeAspect="1"/>
                    </pic:cNvPicPr>
                  </pic:nvPicPr>
                  <pic:blipFill>
                    <a:blip r:embed="rId25"/>
                    <a:stretch>
                      <a:fillRect/>
                    </a:stretch>
                  </pic:blipFill>
                  <pic:spPr>
                    <a:xfrm>
                      <a:off x="0" y="0"/>
                      <a:ext cx="1315720" cy="1070610"/>
                    </a:xfrm>
                    <a:prstGeom prst="rect">
                      <a:avLst/>
                    </a:prstGeom>
                  </pic:spPr>
                </pic:pic>
              </a:graphicData>
            </a:graphic>
          </wp:inline>
        </w:drawing>
      </w:r>
      <w:r>
        <w:rPr>
          <w:rFonts w:hint="eastAsia" w:ascii="仿宋_GB2312" w:hAnsi="仿宋_GB2312" w:eastAsia="仿宋_GB2312" w:cs="仿宋_GB2312"/>
          <w:b/>
          <w:bCs/>
          <w:color w:val="auto"/>
          <w:sz w:val="24"/>
          <w:szCs w:val="24"/>
          <w:lang w:val="en-US"/>
        </w:rPr>
        <w:t xml:space="preserve">         </w:t>
      </w:r>
      <w:r>
        <w:rPr>
          <w:rFonts w:hint="eastAsia" w:ascii="仿宋_GB2312" w:hAnsi="仿宋_GB2312" w:eastAsia="仿宋_GB2312" w:cs="仿宋_GB2312"/>
          <w:b/>
          <w:bCs/>
          <w:color w:val="auto"/>
          <w:sz w:val="24"/>
          <w:szCs w:val="24"/>
          <w:lang w:val="en-US" w:bidi="ar-SA"/>
        </w:rPr>
        <w:drawing>
          <wp:inline distT="0" distB="0" distL="114300" distR="114300">
            <wp:extent cx="1317625" cy="1054100"/>
            <wp:effectExtent l="0" t="0" r="8255" b="12700"/>
            <wp:docPr id="13" name="图片 13" descr="74ac380e498de2e3d519e9cf64abf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74ac380e498de2e3d519e9cf64abf37"/>
                    <pic:cNvPicPr>
                      <a:picLocks noChangeAspect="1"/>
                    </pic:cNvPicPr>
                  </pic:nvPicPr>
                  <pic:blipFill>
                    <a:blip r:embed="rId26"/>
                    <a:stretch>
                      <a:fillRect/>
                    </a:stretch>
                  </pic:blipFill>
                  <pic:spPr>
                    <a:xfrm>
                      <a:off x="0" y="0"/>
                      <a:ext cx="1317625" cy="1054100"/>
                    </a:xfrm>
                    <a:prstGeom prst="rect">
                      <a:avLst/>
                    </a:prstGeom>
                  </pic:spPr>
                </pic:pic>
              </a:graphicData>
            </a:graphic>
          </wp:inline>
        </w:drawing>
      </w:r>
    </w:p>
    <w:p>
      <w:pPr>
        <w:widowControl/>
        <w:spacing w:line="360" w:lineRule="auto"/>
        <w:jc w:val="center"/>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color w:val="auto"/>
          <w:sz w:val="24"/>
          <w:szCs w:val="24"/>
          <w:lang w:val="en-US"/>
        </w:rPr>
        <w:t xml:space="preserve"> </w:t>
      </w:r>
      <w:r>
        <w:rPr>
          <w:rFonts w:hint="eastAsia" w:ascii="仿宋_GB2312" w:hAnsi="仿宋_GB2312" w:eastAsia="仿宋_GB2312" w:cs="仿宋_GB2312"/>
          <w:b/>
          <w:bCs/>
          <w:color w:val="auto"/>
          <w:sz w:val="24"/>
          <w:szCs w:val="24"/>
          <w:lang w:val="en-US"/>
        </w:rPr>
        <w:t>图16 无效“品”造型          图17 有效“品”造型</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7.8.7 机器人在搬运方块至放置区的过程中，如方块与地面有接触，则该方块后续得分均无效。</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7.8.8 非任务方块垂直投影若与放置区</w:t>
      </w:r>
      <w:r>
        <w:rPr>
          <w:rFonts w:hint="eastAsia" w:ascii="仿宋_GB2312" w:hAnsi="仿宋_GB2312" w:eastAsia="仿宋_GB2312" w:cs="仿宋_GB2312"/>
          <w:color w:val="auto"/>
          <w:sz w:val="24"/>
          <w:szCs w:val="24"/>
          <w:highlight w:val="none"/>
          <w:lang w:val="en-US"/>
        </w:rPr>
        <w:t>有重合（含压线）</w:t>
      </w:r>
      <w:r>
        <w:rPr>
          <w:rFonts w:hint="eastAsia" w:ascii="仿宋_GB2312" w:hAnsi="仿宋_GB2312" w:eastAsia="仿宋_GB2312" w:cs="仿宋_GB2312"/>
          <w:color w:val="auto"/>
          <w:sz w:val="24"/>
          <w:szCs w:val="24"/>
          <w:lang w:val="en-US"/>
        </w:rPr>
        <w:t>，仅计任务方块</w:t>
      </w:r>
      <w:r>
        <w:rPr>
          <w:rFonts w:hint="eastAsia" w:ascii="仿宋_GB2312" w:hAnsi="仿宋_GB2312" w:eastAsia="仿宋_GB2312" w:cs="仿宋_GB2312"/>
          <w:color w:val="auto"/>
          <w:sz w:val="24"/>
          <w:szCs w:val="24"/>
          <w:lang w:val="en-US" w:eastAsia="zh-CN"/>
        </w:rPr>
        <w:t>搬运1</w:t>
      </w:r>
      <w:r>
        <w:rPr>
          <w:rFonts w:hint="eastAsia" w:ascii="仿宋_GB2312" w:hAnsi="仿宋_GB2312" w:eastAsia="仿宋_GB2312" w:cs="仿宋_GB2312"/>
          <w:color w:val="auto"/>
          <w:sz w:val="24"/>
          <w:szCs w:val="24"/>
          <w:lang w:val="en-US"/>
        </w:rPr>
        <w:t>得分，其他任务得分均无效。</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7.8.9 比赛结束时，均以任务道具静止状态计分。如比赛结束时，任务道具与机器人未脱离，则得分无效。</w:t>
      </w:r>
    </w:p>
    <w:p>
      <w:pPr>
        <w:widowControl/>
        <w:spacing w:line="360" w:lineRule="auto"/>
        <w:ind w:firstLine="482" w:firstLineChars="200"/>
        <w:jc w:val="left"/>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7.9 犯规与取消比赛资格</w:t>
      </w:r>
    </w:p>
    <w:p>
      <w:pPr>
        <w:widowControl/>
        <w:spacing w:line="360" w:lineRule="auto"/>
        <w:ind w:firstLine="480" w:firstLineChars="200"/>
        <w:jc w:val="lef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rPr>
        <w:t>7.9.1 经过催促仍未准时到达比赛区的参赛队将取消其比赛资格</w:t>
      </w:r>
      <w:r>
        <w:rPr>
          <w:rFonts w:hint="eastAsia" w:ascii="仿宋_GB2312" w:hAnsi="仿宋_GB2312" w:eastAsia="仿宋_GB2312" w:cs="仿宋_GB2312"/>
          <w:color w:val="auto"/>
          <w:sz w:val="24"/>
          <w:szCs w:val="24"/>
          <w:lang w:val="en-US" w:eastAsia="zh-CN"/>
        </w:rPr>
        <w:t>。</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7.9.2 参赛队员未能采用非接触式启动机器人，本轮成绩无效。</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7.9.3 参赛队员第一次误启动将受到裁判员警告，第二次误启动将按弃权处理。</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7.9.4 如果由参赛队员或机器人造成任务模型损坏，不管有意还是无意，将警告一次。该轮该任务不得分，即使该任务已完成。</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7.9.5 比赛中，参赛队员有意接触任务模型或机器人，该参赛队将被取消比赛资格。偶然的接触可以不当作犯规，除非这种接触直接影响到比赛的最终得分。</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7.9.6 参赛队员不听从裁判员的指令将被取消比赛资格。</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7.9.7 参赛队员在未经裁判长允许的情况下，私自与教练员或家长联系，将被取消比赛资格。</w:t>
      </w:r>
    </w:p>
    <w:p>
      <w:pPr>
        <w:widowControl/>
        <w:spacing w:line="360" w:lineRule="auto"/>
        <w:jc w:val="left"/>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b/>
          <w:bCs/>
          <w:color w:val="auto"/>
          <w:sz w:val="24"/>
          <w:szCs w:val="24"/>
          <w:lang w:val="en-US"/>
        </w:rPr>
        <w:t>8 获胜名次排列规则</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每个组别按总得分排名。如果出现局部并列的排名，按如下顺序决定先后：</w:t>
      </w:r>
    </w:p>
    <w:p>
      <w:pPr>
        <w:widowControl/>
        <w:spacing w:line="360" w:lineRule="auto"/>
        <w:ind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8.1 所有场次总用时少的队在前。</w:t>
      </w:r>
    </w:p>
    <w:p>
      <w:pPr>
        <w:widowControl/>
        <w:spacing w:line="360" w:lineRule="auto"/>
        <w:ind w:firstLine="480" w:firstLineChars="200"/>
        <w:jc w:val="left"/>
        <w:rPr>
          <w:rFonts w:ascii="仿宋_GB2312" w:hAnsi="仿宋_GB2312" w:eastAsia="仿宋_GB2312" w:cs="仿宋_GB2312"/>
          <w:color w:val="auto"/>
          <w:sz w:val="24"/>
          <w:szCs w:val="24"/>
          <w:lang w:val="en-US"/>
        </w:rPr>
        <w:sectPr>
          <w:footerReference r:id="rId4" w:type="default"/>
          <w:pgSz w:w="11910" w:h="16840"/>
          <w:pgMar w:top="1440" w:right="1803" w:bottom="1440" w:left="1803" w:header="0" w:footer="970" w:gutter="0"/>
          <w:pgNumType w:fmt="numberInDash" w:start="1"/>
          <w:cols w:space="720" w:num="1"/>
        </w:sectPr>
      </w:pPr>
      <w:r>
        <w:rPr>
          <w:rFonts w:hint="eastAsia" w:ascii="仿宋_GB2312" w:hAnsi="仿宋_GB2312" w:eastAsia="仿宋_GB2312" w:cs="仿宋_GB2312"/>
          <w:color w:val="auto"/>
          <w:sz w:val="24"/>
          <w:szCs w:val="24"/>
          <w:lang w:val="en-US"/>
        </w:rPr>
        <w:t>8.2 所有场次方块堆叠分总和高的队在前。</w:t>
      </w:r>
    </w:p>
    <w:p>
      <w:pPr>
        <w:pStyle w:val="3"/>
        <w:tabs>
          <w:tab w:val="left" w:pos="885"/>
        </w:tabs>
        <w:spacing w:line="360" w:lineRule="auto"/>
        <w:ind w:left="0" w:right="469" w:rightChars="213" w:firstLine="0"/>
        <w:rPr>
          <w:rFonts w:ascii="仿宋_GB2312" w:hAnsi="仿宋_GB2312" w:eastAsia="仿宋_GB2312" w:cs="仿宋_GB2312"/>
          <w:color w:val="auto"/>
        </w:rPr>
      </w:pPr>
    </w:p>
    <w:p>
      <w:pPr>
        <w:widowControl/>
        <w:kinsoku w:val="0"/>
        <w:bidi w:val="0"/>
        <w:adjustRightInd w:val="0"/>
        <w:snapToGrid w:val="0"/>
        <w:spacing w:line="240" w:lineRule="auto"/>
        <w:jc w:val="center"/>
        <w:textAlignment w:val="baseline"/>
        <w:rPr>
          <w:rFonts w:hint="eastAsia" w:ascii="黑体" w:hAnsi="黑体" w:eastAsia="黑体" w:cs="黑体"/>
          <w:snapToGrid w:val="0"/>
          <w:color w:val="auto"/>
          <w:kern w:val="0"/>
          <w:sz w:val="32"/>
          <w:szCs w:val="32"/>
          <w:lang w:val="en-US"/>
        </w:rPr>
      </w:pPr>
      <w:r>
        <w:rPr>
          <w:rFonts w:hint="eastAsia" w:ascii="黑体" w:hAnsi="黑体" w:eastAsia="黑体" w:cs="黑体"/>
          <w:snapToGrid w:val="0"/>
          <w:color w:val="auto"/>
          <w:kern w:val="0"/>
          <w:sz w:val="32"/>
          <w:szCs w:val="32"/>
          <w:lang w:val="en-US"/>
        </w:rPr>
        <w:t>B 类：轮式或履带式行走机器人</w:t>
      </w:r>
    </w:p>
    <w:p>
      <w:pPr>
        <w:widowControl/>
        <w:kinsoku w:val="0"/>
        <w:bidi w:val="0"/>
        <w:adjustRightInd w:val="0"/>
        <w:snapToGrid w:val="0"/>
        <w:spacing w:line="240" w:lineRule="auto"/>
        <w:jc w:val="center"/>
        <w:textAlignment w:val="baseline"/>
        <w:rPr>
          <w:rFonts w:hint="eastAsia" w:ascii="黑体" w:hAnsi="黑体" w:eastAsia="黑体" w:cs="黑体"/>
          <w:snapToGrid w:val="0"/>
          <w:color w:val="auto"/>
          <w:kern w:val="0"/>
          <w:sz w:val="32"/>
          <w:szCs w:val="32"/>
          <w:lang w:val="en-US"/>
        </w:rPr>
      </w:pPr>
      <w:r>
        <w:rPr>
          <w:rFonts w:hint="eastAsia" w:ascii="黑体" w:hAnsi="黑体" w:eastAsia="黑体" w:cs="黑体"/>
          <w:snapToGrid w:val="0"/>
          <w:color w:val="auto"/>
          <w:kern w:val="0"/>
          <w:sz w:val="32"/>
          <w:szCs w:val="32"/>
          <w:lang w:val="en-US"/>
        </w:rPr>
        <w:t>竞赛记分表</w:t>
      </w:r>
    </w:p>
    <w:p>
      <w:pPr>
        <w:widowControl/>
        <w:kinsoku w:val="0"/>
        <w:bidi w:val="0"/>
        <w:adjustRightInd w:val="0"/>
        <w:snapToGrid w:val="0"/>
        <w:spacing w:line="240" w:lineRule="auto"/>
        <w:jc w:val="center"/>
        <w:textAlignment w:val="baseline"/>
        <w:rPr>
          <w:rFonts w:hint="eastAsia" w:ascii="黑体" w:hAnsi="黑体" w:eastAsia="黑体" w:cs="黑体"/>
          <w:snapToGrid w:val="0"/>
          <w:color w:val="auto"/>
          <w:kern w:val="0"/>
          <w:sz w:val="32"/>
          <w:szCs w:val="32"/>
        </w:rPr>
      </w:pPr>
    </w:p>
    <w:p>
      <w:pPr>
        <w:pStyle w:val="6"/>
        <w:tabs>
          <w:tab w:val="left" w:pos="2137"/>
          <w:tab w:val="left" w:pos="4957"/>
          <w:tab w:val="left" w:pos="6817"/>
          <w:tab w:val="left" w:pos="8501"/>
        </w:tabs>
        <w:spacing w:line="360" w:lineRule="auto"/>
        <w:ind w:left="37" w:right="469" w:rightChars="213"/>
        <w:jc w:val="center"/>
        <w:rPr>
          <w:rFonts w:ascii="仿宋_GB2312" w:hAnsi="仿宋_GB2312" w:eastAsia="仿宋_GB2312" w:cs="仿宋_GB2312"/>
          <w:color w:val="auto"/>
        </w:rPr>
      </w:pPr>
      <w:r>
        <w:rPr>
          <w:rFonts w:hint="eastAsia" w:ascii="仿宋_GB2312" w:hAnsi="仿宋_GB2312" w:eastAsia="仿宋_GB2312" w:cs="仿宋_GB2312"/>
          <w:color w:val="auto"/>
          <w:lang w:val="en-US"/>
        </w:rPr>
        <w:t>组别：</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ab/>
      </w:r>
      <w:r>
        <w:rPr>
          <w:rFonts w:hint="eastAsia" w:ascii="仿宋_GB2312" w:hAnsi="仿宋_GB2312" w:eastAsia="仿宋_GB2312" w:cs="仿宋_GB2312"/>
          <w:color w:val="auto"/>
        </w:rPr>
        <w:t>参赛学校：</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ab/>
      </w:r>
      <w:r>
        <w:rPr>
          <w:rFonts w:hint="eastAsia" w:ascii="仿宋_GB2312" w:hAnsi="仿宋_GB2312" w:eastAsia="仿宋_GB2312" w:cs="仿宋_GB2312"/>
          <w:color w:val="auto"/>
        </w:rPr>
        <w:t>队伍编号：</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ab/>
      </w:r>
    </w:p>
    <w:tbl>
      <w:tblPr>
        <w:tblStyle w:val="10"/>
        <w:tblW w:w="94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710"/>
        <w:gridCol w:w="1240"/>
        <w:gridCol w:w="2036"/>
        <w:gridCol w:w="684"/>
        <w:gridCol w:w="1190"/>
        <w:gridCol w:w="850"/>
        <w:gridCol w:w="1230"/>
        <w:gridCol w:w="7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评分</w:t>
            </w:r>
          </w:p>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类别</w:t>
            </w:r>
          </w:p>
        </w:tc>
        <w:tc>
          <w:tcPr>
            <w:tcW w:w="3986" w:type="dxa"/>
            <w:gridSpan w:val="3"/>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评分项目</w:t>
            </w:r>
          </w:p>
        </w:tc>
        <w:tc>
          <w:tcPr>
            <w:tcW w:w="68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第一轮</w:t>
            </w:r>
          </w:p>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数量</w:t>
            </w:r>
            <w:r>
              <w:rPr>
                <w:rFonts w:hint="eastAsia" w:ascii="仿宋_GB2312" w:hAnsi="仿宋_GB2312" w:eastAsia="仿宋_GB2312" w:cs="仿宋_GB2312"/>
                <w:color w:val="auto"/>
                <w:sz w:val="24"/>
                <w:szCs w:val="24"/>
                <w:lang w:val="en-US"/>
              </w:rPr>
              <w:t>/完成</w:t>
            </w:r>
          </w:p>
        </w:tc>
        <w:tc>
          <w:tcPr>
            <w:tcW w:w="85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第一轮</w:t>
            </w:r>
            <w:r>
              <w:rPr>
                <w:rFonts w:hint="eastAsia" w:ascii="仿宋_GB2312" w:hAnsi="仿宋_GB2312" w:eastAsia="仿宋_GB2312" w:cs="仿宋_GB2312"/>
                <w:color w:val="auto"/>
                <w:sz w:val="24"/>
                <w:szCs w:val="24"/>
              </w:rPr>
              <w:t>得分</w:t>
            </w:r>
          </w:p>
        </w:tc>
        <w:tc>
          <w:tcPr>
            <w:tcW w:w="123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第二轮</w:t>
            </w:r>
          </w:p>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数量</w:t>
            </w:r>
            <w:r>
              <w:rPr>
                <w:rFonts w:hint="eastAsia" w:ascii="仿宋_GB2312" w:hAnsi="仿宋_GB2312" w:eastAsia="仿宋_GB2312" w:cs="仿宋_GB2312"/>
                <w:color w:val="auto"/>
                <w:sz w:val="24"/>
                <w:szCs w:val="24"/>
                <w:lang w:val="en-US"/>
              </w:rPr>
              <w:t>/完成</w:t>
            </w:r>
          </w:p>
        </w:tc>
        <w:tc>
          <w:tcPr>
            <w:tcW w:w="763"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第二轮</w:t>
            </w:r>
            <w:r>
              <w:rPr>
                <w:rFonts w:hint="eastAsia" w:ascii="仿宋_GB2312" w:hAnsi="仿宋_GB2312" w:eastAsia="仿宋_GB2312" w:cs="仿宋_GB2312"/>
                <w:color w:val="auto"/>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744" w:type="dxa"/>
            <w:vMerge w:val="restart"/>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rPr>
              <w:t>搬运</w:t>
            </w:r>
            <w:r>
              <w:rPr>
                <w:rFonts w:hint="eastAsia" w:ascii="仿宋_GB2312" w:hAnsi="仿宋_GB2312" w:eastAsia="仿宋_GB2312" w:cs="仿宋_GB2312"/>
                <w:color w:val="auto"/>
                <w:sz w:val="24"/>
                <w:szCs w:val="24"/>
                <w:lang w:val="en-US"/>
              </w:rPr>
              <w:t>1</w:t>
            </w:r>
          </w:p>
        </w:tc>
        <w:tc>
          <w:tcPr>
            <w:tcW w:w="3986" w:type="dxa"/>
            <w:gridSpan w:val="3"/>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任务方块完全脱离初标记点</w:t>
            </w:r>
          </w:p>
        </w:tc>
        <w:tc>
          <w:tcPr>
            <w:tcW w:w="684"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5分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w:t>
            </w:r>
          </w:p>
        </w:tc>
        <w:tc>
          <w:tcPr>
            <w:tcW w:w="850" w:type="dxa"/>
            <w:vAlign w:val="center"/>
          </w:tcPr>
          <w:p>
            <w:pPr>
              <w:spacing w:line="360" w:lineRule="auto"/>
              <w:jc w:val="center"/>
              <w:rPr>
                <w:rFonts w:ascii="仿宋_GB2312" w:hAnsi="仿宋_GB2312" w:eastAsia="仿宋_GB2312" w:cs="仿宋_GB2312"/>
                <w:color w:val="auto"/>
                <w:sz w:val="24"/>
                <w:szCs w:val="24"/>
                <w:lang w:val="en-US"/>
              </w:rPr>
            </w:pPr>
          </w:p>
        </w:tc>
        <w:tc>
          <w:tcPr>
            <w:tcW w:w="1230"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 xml:space="preserve">    个</w:t>
            </w:r>
          </w:p>
        </w:tc>
        <w:tc>
          <w:tcPr>
            <w:tcW w:w="763" w:type="dxa"/>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jc w:val="center"/>
        </w:trPr>
        <w:tc>
          <w:tcPr>
            <w:tcW w:w="744" w:type="dxa"/>
            <w:vMerge w:val="continue"/>
            <w:tcBorders>
              <w:bottom w:val="single" w:color="auto" w:sz="4" w:space="0"/>
            </w:tcBorders>
            <w:vAlign w:val="center"/>
          </w:tcPr>
          <w:p>
            <w:pPr>
              <w:spacing w:line="360" w:lineRule="auto"/>
              <w:jc w:val="center"/>
              <w:rPr>
                <w:color w:val="auto"/>
              </w:rPr>
            </w:pPr>
          </w:p>
        </w:tc>
        <w:tc>
          <w:tcPr>
            <w:tcW w:w="3986" w:type="dxa"/>
            <w:gridSpan w:val="3"/>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非任务方块任意部分离开初始位置</w:t>
            </w:r>
          </w:p>
        </w:tc>
        <w:tc>
          <w:tcPr>
            <w:tcW w:w="684" w:type="dxa"/>
            <w:vAlign w:val="center"/>
          </w:tcPr>
          <w:p>
            <w:pPr>
              <w:spacing w:line="360" w:lineRule="auto"/>
              <w:jc w:val="center"/>
              <w:rPr>
                <w:rFonts w:ascii="仿宋_GB2312" w:hAnsi="仿宋_GB2312" w:eastAsia="仿宋_GB2312" w:cs="仿宋_GB2312"/>
                <w:color w:val="auto"/>
                <w:spacing w:val="-9"/>
                <w:sz w:val="24"/>
                <w:szCs w:val="24"/>
                <w:lang w:val="en-US"/>
              </w:rPr>
            </w:pPr>
            <w:r>
              <w:rPr>
                <w:rFonts w:hint="eastAsia" w:ascii="仿宋_GB2312" w:hAnsi="仿宋_GB2312" w:eastAsia="仿宋_GB2312" w:cs="仿宋_GB2312"/>
                <w:color w:val="auto"/>
                <w:spacing w:val="-9"/>
                <w:sz w:val="24"/>
                <w:szCs w:val="24"/>
                <w:lang w:val="en-US"/>
              </w:rPr>
              <w:t>-5分</w:t>
            </w:r>
          </w:p>
        </w:tc>
        <w:tc>
          <w:tcPr>
            <w:tcW w:w="1190" w:type="dxa"/>
            <w:vAlign w:val="center"/>
          </w:tcPr>
          <w:p>
            <w:pPr>
              <w:spacing w:line="360" w:lineRule="auto"/>
              <w:jc w:val="center"/>
              <w:rPr>
                <w:rFonts w:ascii="仿宋_GB2312" w:hAnsi="仿宋_GB2312" w:eastAsia="仿宋_GB2312" w:cs="仿宋_GB2312"/>
                <w:color w:val="auto"/>
                <w:spacing w:val="-9"/>
                <w:sz w:val="24"/>
                <w:szCs w:val="24"/>
                <w:lang w:val="en-US"/>
              </w:rPr>
            </w:pPr>
            <w:r>
              <w:rPr>
                <w:rFonts w:hint="eastAsia" w:ascii="仿宋_GB2312" w:hAnsi="仿宋_GB2312" w:eastAsia="仿宋_GB2312" w:cs="仿宋_GB2312"/>
                <w:color w:val="auto"/>
                <w:sz w:val="24"/>
                <w:szCs w:val="24"/>
                <w:lang w:val="en-US"/>
              </w:rPr>
              <w:t xml:space="preserve">    个</w:t>
            </w:r>
          </w:p>
        </w:tc>
        <w:tc>
          <w:tcPr>
            <w:tcW w:w="850" w:type="dxa"/>
            <w:vAlign w:val="center"/>
          </w:tcPr>
          <w:p>
            <w:pPr>
              <w:spacing w:line="360" w:lineRule="auto"/>
              <w:jc w:val="center"/>
              <w:rPr>
                <w:rFonts w:ascii="仿宋_GB2312" w:hAnsi="仿宋_GB2312" w:eastAsia="仿宋_GB2312" w:cs="仿宋_GB2312"/>
                <w:color w:val="auto"/>
                <w:spacing w:val="-9"/>
                <w:sz w:val="24"/>
                <w:szCs w:val="24"/>
                <w:lang w:val="en-US"/>
              </w:rPr>
            </w:pPr>
          </w:p>
        </w:tc>
        <w:tc>
          <w:tcPr>
            <w:tcW w:w="1230" w:type="dxa"/>
            <w:vAlign w:val="center"/>
          </w:tcPr>
          <w:p>
            <w:pPr>
              <w:spacing w:line="360" w:lineRule="auto"/>
              <w:jc w:val="center"/>
              <w:rPr>
                <w:rFonts w:ascii="仿宋_GB2312" w:hAnsi="仿宋_GB2312" w:eastAsia="仿宋_GB2312" w:cs="仿宋_GB2312"/>
                <w:color w:val="auto"/>
                <w:spacing w:val="-9"/>
                <w:sz w:val="24"/>
                <w:szCs w:val="24"/>
                <w:lang w:val="en-US"/>
              </w:rPr>
            </w:pPr>
            <w:r>
              <w:rPr>
                <w:rFonts w:hint="eastAsia" w:ascii="仿宋_GB2312" w:hAnsi="仿宋_GB2312" w:eastAsia="仿宋_GB2312" w:cs="仿宋_GB2312"/>
                <w:color w:val="auto"/>
                <w:sz w:val="24"/>
                <w:szCs w:val="24"/>
                <w:lang w:val="en-US"/>
              </w:rPr>
              <w:t xml:space="preserve">    个</w:t>
            </w:r>
          </w:p>
        </w:tc>
        <w:tc>
          <w:tcPr>
            <w:tcW w:w="763" w:type="dxa"/>
            <w:vAlign w:val="center"/>
          </w:tcPr>
          <w:p>
            <w:pPr>
              <w:spacing w:line="360" w:lineRule="auto"/>
              <w:jc w:val="center"/>
              <w:rPr>
                <w:rFonts w:ascii="仿宋_GB2312" w:hAnsi="仿宋_GB2312" w:eastAsia="仿宋_GB2312" w:cs="仿宋_GB2312"/>
                <w:color w:val="auto"/>
                <w:spacing w:val="-9"/>
                <w:sz w:val="24"/>
                <w:szCs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restart"/>
            <w:tcBorders>
              <w:top w:val="single" w:color="auto" w:sz="4" w:space="0"/>
            </w:tcBorders>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rPr>
              <w:t>搬运</w:t>
            </w:r>
            <w:r>
              <w:rPr>
                <w:rFonts w:hint="eastAsia" w:ascii="仿宋_GB2312" w:hAnsi="仿宋_GB2312" w:eastAsia="仿宋_GB2312" w:cs="仿宋_GB2312"/>
                <w:color w:val="auto"/>
                <w:sz w:val="24"/>
                <w:szCs w:val="24"/>
                <w:lang w:val="en-US"/>
              </w:rPr>
              <w:t>2</w:t>
            </w:r>
          </w:p>
        </w:tc>
        <w:tc>
          <w:tcPr>
            <w:tcW w:w="3986" w:type="dxa"/>
            <w:gridSpan w:val="3"/>
            <w:tcBorders>
              <w:top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任务方块完全进入正确放置区</w:t>
            </w:r>
          </w:p>
        </w:tc>
        <w:tc>
          <w:tcPr>
            <w:tcW w:w="68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20</w:t>
            </w:r>
            <w:r>
              <w:rPr>
                <w:rFonts w:hint="eastAsia" w:ascii="仿宋_GB2312" w:hAnsi="仿宋_GB2312" w:eastAsia="仿宋_GB2312" w:cs="仿宋_GB2312"/>
                <w:color w:val="auto"/>
                <w:sz w:val="24"/>
                <w:szCs w:val="24"/>
              </w:rPr>
              <w:t>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w:t>
            </w:r>
          </w:p>
        </w:tc>
        <w:tc>
          <w:tcPr>
            <w:tcW w:w="850" w:type="dxa"/>
            <w:vMerge w:val="restart"/>
            <w:vAlign w:val="center"/>
          </w:tcPr>
          <w:p>
            <w:pPr>
              <w:spacing w:line="360" w:lineRule="auto"/>
              <w:jc w:val="center"/>
              <w:rPr>
                <w:rFonts w:ascii="仿宋_GB2312" w:hAnsi="仿宋_GB2312" w:eastAsia="仿宋_GB2312" w:cs="仿宋_GB2312"/>
                <w:color w:val="auto"/>
                <w:sz w:val="24"/>
                <w:szCs w:val="24"/>
              </w:rPr>
            </w:pPr>
          </w:p>
        </w:tc>
        <w:tc>
          <w:tcPr>
            <w:tcW w:w="123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w:t>
            </w:r>
          </w:p>
        </w:tc>
        <w:tc>
          <w:tcPr>
            <w:tcW w:w="763" w:type="dxa"/>
            <w:vMerge w:val="restart"/>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continue"/>
            <w:vAlign w:val="center"/>
          </w:tcPr>
          <w:p>
            <w:pPr>
              <w:spacing w:line="360" w:lineRule="auto"/>
              <w:jc w:val="center"/>
              <w:rPr>
                <w:rFonts w:ascii="仿宋_GB2312" w:hAnsi="仿宋_GB2312" w:eastAsia="仿宋_GB2312" w:cs="仿宋_GB2312"/>
                <w:color w:val="auto"/>
                <w:sz w:val="24"/>
                <w:szCs w:val="24"/>
              </w:rPr>
            </w:pPr>
          </w:p>
        </w:tc>
        <w:tc>
          <w:tcPr>
            <w:tcW w:w="3986"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任务方块未完全进入正确放置区</w:t>
            </w:r>
          </w:p>
        </w:tc>
        <w:tc>
          <w:tcPr>
            <w:tcW w:w="68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      </w:t>
            </w:r>
          </w:p>
        </w:tc>
        <w:tc>
          <w:tcPr>
            <w:tcW w:w="850" w:type="dxa"/>
            <w:vMerge w:val="continue"/>
            <w:vAlign w:val="center"/>
          </w:tcPr>
          <w:p>
            <w:pPr>
              <w:spacing w:line="360" w:lineRule="auto"/>
              <w:jc w:val="center"/>
              <w:rPr>
                <w:rFonts w:ascii="仿宋_GB2312" w:hAnsi="仿宋_GB2312" w:eastAsia="仿宋_GB2312" w:cs="仿宋_GB2312"/>
                <w:color w:val="auto"/>
                <w:sz w:val="24"/>
                <w:szCs w:val="24"/>
              </w:rPr>
            </w:pPr>
          </w:p>
        </w:tc>
        <w:tc>
          <w:tcPr>
            <w:tcW w:w="123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      </w:t>
            </w:r>
          </w:p>
        </w:tc>
        <w:tc>
          <w:tcPr>
            <w:tcW w:w="763" w:type="dxa"/>
            <w:vMerge w:val="continue"/>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restart"/>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堆叠</w:t>
            </w:r>
          </w:p>
        </w:tc>
        <w:tc>
          <w:tcPr>
            <w:tcW w:w="3986"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堆叠在上层的任务方块完全进入正确放置区</w:t>
            </w:r>
          </w:p>
        </w:tc>
        <w:tc>
          <w:tcPr>
            <w:tcW w:w="68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10</w:t>
            </w:r>
            <w:r>
              <w:rPr>
                <w:rFonts w:hint="eastAsia" w:ascii="仿宋_GB2312" w:hAnsi="仿宋_GB2312" w:eastAsia="仿宋_GB2312" w:cs="仿宋_GB2312"/>
                <w:color w:val="auto"/>
                <w:sz w:val="24"/>
                <w:szCs w:val="24"/>
              </w:rPr>
              <w:t>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      </w:t>
            </w:r>
          </w:p>
        </w:tc>
        <w:tc>
          <w:tcPr>
            <w:tcW w:w="850" w:type="dxa"/>
            <w:vMerge w:val="restart"/>
            <w:vAlign w:val="center"/>
          </w:tcPr>
          <w:p>
            <w:pPr>
              <w:spacing w:line="360" w:lineRule="auto"/>
              <w:jc w:val="center"/>
              <w:rPr>
                <w:rFonts w:ascii="仿宋_GB2312" w:hAnsi="仿宋_GB2312" w:eastAsia="仿宋_GB2312" w:cs="仿宋_GB2312"/>
                <w:color w:val="auto"/>
                <w:sz w:val="24"/>
                <w:szCs w:val="24"/>
              </w:rPr>
            </w:pPr>
          </w:p>
        </w:tc>
        <w:tc>
          <w:tcPr>
            <w:tcW w:w="123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      </w:t>
            </w:r>
          </w:p>
        </w:tc>
        <w:tc>
          <w:tcPr>
            <w:tcW w:w="763" w:type="dxa"/>
            <w:vMerge w:val="restart"/>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continue"/>
            <w:vAlign w:val="center"/>
          </w:tcPr>
          <w:p>
            <w:pPr>
              <w:spacing w:line="360" w:lineRule="auto"/>
              <w:jc w:val="center"/>
              <w:rPr>
                <w:rFonts w:ascii="仿宋_GB2312" w:hAnsi="仿宋_GB2312" w:eastAsia="仿宋_GB2312" w:cs="仿宋_GB2312"/>
                <w:color w:val="auto"/>
                <w:sz w:val="24"/>
                <w:szCs w:val="24"/>
                <w:lang w:val="en-US"/>
              </w:rPr>
            </w:pPr>
          </w:p>
        </w:tc>
        <w:tc>
          <w:tcPr>
            <w:tcW w:w="3986"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堆叠在上层的任务方块未完全进入正确放置区</w:t>
            </w:r>
          </w:p>
        </w:tc>
        <w:tc>
          <w:tcPr>
            <w:tcW w:w="684"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5</w:t>
            </w:r>
            <w:r>
              <w:rPr>
                <w:rFonts w:hint="eastAsia" w:ascii="仿宋_GB2312" w:hAnsi="仿宋_GB2312" w:eastAsia="仿宋_GB2312" w:cs="仿宋_GB2312"/>
                <w:color w:val="auto"/>
                <w:sz w:val="24"/>
                <w:szCs w:val="24"/>
              </w:rPr>
              <w:t>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w:t>
            </w:r>
          </w:p>
        </w:tc>
        <w:tc>
          <w:tcPr>
            <w:tcW w:w="850" w:type="dxa"/>
            <w:vMerge w:val="continue"/>
            <w:vAlign w:val="center"/>
          </w:tcPr>
          <w:p>
            <w:pPr>
              <w:spacing w:line="360" w:lineRule="auto"/>
              <w:jc w:val="center"/>
              <w:rPr>
                <w:rFonts w:ascii="仿宋_GB2312" w:hAnsi="仿宋_GB2312" w:eastAsia="仿宋_GB2312" w:cs="仿宋_GB2312"/>
                <w:color w:val="auto"/>
                <w:sz w:val="24"/>
                <w:szCs w:val="24"/>
                <w:lang w:val="en-US"/>
              </w:rPr>
            </w:pPr>
          </w:p>
        </w:tc>
        <w:tc>
          <w:tcPr>
            <w:tcW w:w="1230"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 xml:space="preserve">    个</w:t>
            </w:r>
          </w:p>
        </w:tc>
        <w:tc>
          <w:tcPr>
            <w:tcW w:w="763" w:type="dxa"/>
            <w:vMerge w:val="continue"/>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restart"/>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有效</w:t>
            </w:r>
          </w:p>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造型</w:t>
            </w:r>
          </w:p>
        </w:tc>
        <w:tc>
          <w:tcPr>
            <w:tcW w:w="3986"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完成基本有效造型</w:t>
            </w:r>
          </w:p>
        </w:tc>
        <w:tc>
          <w:tcPr>
            <w:tcW w:w="684"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10分</w:t>
            </w:r>
          </w:p>
        </w:tc>
        <w:tc>
          <w:tcPr>
            <w:tcW w:w="1190" w:type="dxa"/>
            <w:vAlign w:val="center"/>
          </w:tcPr>
          <w:p>
            <w:pPr>
              <w:spacing w:line="360" w:lineRule="auto"/>
              <w:jc w:val="center"/>
              <w:rPr>
                <w:rFonts w:ascii="仿宋_GB2312" w:hAnsi="仿宋_GB2312" w:eastAsia="仿宋_GB2312" w:cs="仿宋_GB2312"/>
                <w:color w:val="auto"/>
                <w:sz w:val="24"/>
                <w:szCs w:val="24"/>
                <w:lang w:val="en-US"/>
              </w:rPr>
            </w:pPr>
          </w:p>
        </w:tc>
        <w:tc>
          <w:tcPr>
            <w:tcW w:w="850" w:type="dxa"/>
            <w:vMerge w:val="restart"/>
            <w:vAlign w:val="center"/>
          </w:tcPr>
          <w:p>
            <w:pPr>
              <w:spacing w:line="360" w:lineRule="auto"/>
              <w:jc w:val="center"/>
              <w:rPr>
                <w:rFonts w:ascii="仿宋_GB2312" w:hAnsi="仿宋_GB2312" w:eastAsia="仿宋_GB2312" w:cs="仿宋_GB2312"/>
                <w:color w:val="auto"/>
                <w:sz w:val="24"/>
                <w:szCs w:val="24"/>
                <w:lang w:val="en-US"/>
              </w:rPr>
            </w:pPr>
          </w:p>
        </w:tc>
        <w:tc>
          <w:tcPr>
            <w:tcW w:w="1230"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 xml:space="preserve">      </w:t>
            </w:r>
          </w:p>
        </w:tc>
        <w:tc>
          <w:tcPr>
            <w:tcW w:w="763" w:type="dxa"/>
            <w:vMerge w:val="restart"/>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744" w:type="dxa"/>
            <w:vMerge w:val="continue"/>
            <w:vAlign w:val="center"/>
          </w:tcPr>
          <w:p>
            <w:pPr>
              <w:spacing w:line="360" w:lineRule="auto"/>
              <w:jc w:val="center"/>
              <w:rPr>
                <w:rFonts w:ascii="仿宋_GB2312" w:hAnsi="仿宋_GB2312" w:eastAsia="仿宋_GB2312" w:cs="仿宋_GB2312"/>
                <w:color w:val="auto"/>
                <w:sz w:val="24"/>
                <w:szCs w:val="24"/>
                <w:lang w:val="en-US"/>
              </w:rPr>
            </w:pPr>
          </w:p>
        </w:tc>
        <w:tc>
          <w:tcPr>
            <w:tcW w:w="3986"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64" w:lineRule="auto"/>
              <w:jc w:val="left"/>
              <w:textAlignment w:val="auto"/>
              <w:rPr>
                <w:rFonts w:hint="eastAsia" w:ascii="仿宋_GB2312" w:hAnsi="仿宋_GB2312" w:eastAsia="仿宋_GB2312" w:cs="仿宋_GB2312"/>
                <w:color w:val="auto"/>
                <w:spacing w:val="-9"/>
                <w:kern w:val="0"/>
                <w:sz w:val="24"/>
                <w:szCs w:val="24"/>
                <w:lang w:val="en-US" w:bidi="zh-CN"/>
              </w:rPr>
            </w:pPr>
            <w:r>
              <w:rPr>
                <w:rFonts w:hint="eastAsia" w:ascii="仿宋_GB2312" w:hAnsi="仿宋_GB2312" w:eastAsia="仿宋_GB2312" w:cs="仿宋_GB2312"/>
                <w:color w:val="auto"/>
                <w:spacing w:val="-9"/>
                <w:kern w:val="0"/>
                <w:sz w:val="24"/>
                <w:szCs w:val="24"/>
                <w:lang w:val="en-US" w:bidi="zh-CN"/>
              </w:rPr>
              <w:t>完成挑战有效造型</w:t>
            </w:r>
          </w:p>
        </w:tc>
        <w:tc>
          <w:tcPr>
            <w:tcW w:w="684" w:type="dxa"/>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3</w:t>
            </w:r>
            <w:r>
              <w:rPr>
                <w:rFonts w:hint="eastAsia" w:ascii="仿宋_GB2312" w:hAnsi="仿宋_GB2312" w:eastAsia="仿宋_GB2312" w:cs="仿宋_GB2312"/>
                <w:color w:val="auto"/>
                <w:sz w:val="24"/>
                <w:szCs w:val="24"/>
              </w:rPr>
              <w:t>0分</w:t>
            </w:r>
          </w:p>
        </w:tc>
        <w:tc>
          <w:tcPr>
            <w:tcW w:w="1190" w:type="dxa"/>
            <w:vAlign w:val="center"/>
          </w:tcPr>
          <w:p>
            <w:pPr>
              <w:spacing w:line="360" w:lineRule="auto"/>
              <w:jc w:val="center"/>
              <w:rPr>
                <w:rFonts w:ascii="仿宋_GB2312" w:hAnsi="仿宋_GB2312" w:eastAsia="仿宋_GB2312" w:cs="仿宋_GB2312"/>
                <w:color w:val="auto"/>
                <w:sz w:val="24"/>
                <w:szCs w:val="24"/>
              </w:rPr>
            </w:pPr>
          </w:p>
        </w:tc>
        <w:tc>
          <w:tcPr>
            <w:tcW w:w="850" w:type="dxa"/>
            <w:vMerge w:val="continue"/>
            <w:vAlign w:val="center"/>
          </w:tcPr>
          <w:p>
            <w:pPr>
              <w:spacing w:line="360" w:lineRule="auto"/>
              <w:jc w:val="center"/>
              <w:rPr>
                <w:rFonts w:ascii="仿宋_GB2312" w:hAnsi="仿宋_GB2312" w:eastAsia="仿宋_GB2312" w:cs="仿宋_GB2312"/>
                <w:color w:val="auto"/>
                <w:sz w:val="24"/>
                <w:szCs w:val="24"/>
              </w:rPr>
            </w:pPr>
          </w:p>
        </w:tc>
        <w:tc>
          <w:tcPr>
            <w:tcW w:w="1230" w:type="dxa"/>
            <w:vAlign w:val="center"/>
          </w:tcPr>
          <w:p>
            <w:pPr>
              <w:spacing w:line="360" w:lineRule="auto"/>
              <w:jc w:val="center"/>
              <w:rPr>
                <w:rFonts w:ascii="仿宋_GB2312" w:hAnsi="仿宋_GB2312" w:eastAsia="仿宋_GB2312" w:cs="仿宋_GB2312"/>
                <w:color w:val="auto"/>
                <w:sz w:val="24"/>
                <w:szCs w:val="24"/>
              </w:rPr>
            </w:pPr>
          </w:p>
        </w:tc>
        <w:tc>
          <w:tcPr>
            <w:tcW w:w="763" w:type="dxa"/>
            <w:vMerge w:val="continue"/>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454" w:type="dxa"/>
            <w:gridSpan w:val="2"/>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第一轮用时</w:t>
            </w:r>
          </w:p>
        </w:tc>
        <w:tc>
          <w:tcPr>
            <w:tcW w:w="1240" w:type="dxa"/>
            <w:vAlign w:val="center"/>
          </w:tcPr>
          <w:p>
            <w:pPr>
              <w:spacing w:line="360" w:lineRule="auto"/>
              <w:jc w:val="center"/>
              <w:rPr>
                <w:rFonts w:ascii="仿宋_GB2312" w:hAnsi="仿宋_GB2312" w:eastAsia="仿宋_GB2312" w:cs="仿宋_GB2312"/>
                <w:color w:val="auto"/>
                <w:sz w:val="24"/>
                <w:szCs w:val="24"/>
                <w:lang w:val="en-US"/>
              </w:rPr>
            </w:pPr>
          </w:p>
        </w:tc>
        <w:tc>
          <w:tcPr>
            <w:tcW w:w="2036"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第二轮用时</w:t>
            </w:r>
          </w:p>
        </w:tc>
        <w:tc>
          <w:tcPr>
            <w:tcW w:w="684" w:type="dxa"/>
            <w:vAlign w:val="center"/>
          </w:tcPr>
          <w:p>
            <w:pPr>
              <w:spacing w:line="360" w:lineRule="auto"/>
              <w:jc w:val="center"/>
              <w:rPr>
                <w:rFonts w:ascii="仿宋_GB2312" w:hAnsi="仿宋_GB2312" w:eastAsia="仿宋_GB2312" w:cs="仿宋_GB2312"/>
                <w:color w:val="auto"/>
                <w:sz w:val="24"/>
                <w:szCs w:val="24"/>
              </w:rPr>
            </w:pPr>
          </w:p>
        </w:tc>
        <w:tc>
          <w:tcPr>
            <w:tcW w:w="2040" w:type="dxa"/>
            <w:gridSpan w:val="2"/>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总用时</w:t>
            </w:r>
          </w:p>
        </w:tc>
        <w:tc>
          <w:tcPr>
            <w:tcW w:w="1993" w:type="dxa"/>
            <w:gridSpan w:val="2"/>
            <w:vAlign w:val="center"/>
          </w:tcPr>
          <w:p>
            <w:pPr>
              <w:spacing w:line="360" w:lineRule="auto"/>
              <w:jc w:val="center"/>
              <w:rPr>
                <w:rFonts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454" w:type="dxa"/>
            <w:gridSpan w:val="2"/>
            <w:vAlign w:val="center"/>
          </w:tcPr>
          <w:p>
            <w:pPr>
              <w:spacing w:line="360" w:lineRule="auto"/>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rPr>
              <w:t>第一轮总得分</w:t>
            </w:r>
          </w:p>
        </w:tc>
        <w:tc>
          <w:tcPr>
            <w:tcW w:w="1240" w:type="dxa"/>
            <w:vAlign w:val="center"/>
          </w:tcPr>
          <w:p>
            <w:pPr>
              <w:spacing w:line="360" w:lineRule="auto"/>
              <w:jc w:val="center"/>
              <w:rPr>
                <w:rFonts w:ascii="仿宋_GB2312" w:hAnsi="仿宋_GB2312" w:eastAsia="仿宋_GB2312" w:cs="仿宋_GB2312"/>
                <w:color w:val="auto"/>
                <w:sz w:val="24"/>
                <w:szCs w:val="24"/>
                <w:lang w:val="en-US"/>
              </w:rPr>
            </w:pPr>
          </w:p>
        </w:tc>
        <w:tc>
          <w:tcPr>
            <w:tcW w:w="2036" w:type="dxa"/>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第二轮总得分</w:t>
            </w:r>
          </w:p>
        </w:tc>
        <w:tc>
          <w:tcPr>
            <w:tcW w:w="684" w:type="dxa"/>
            <w:vAlign w:val="center"/>
          </w:tcPr>
          <w:p>
            <w:pPr>
              <w:spacing w:line="360" w:lineRule="auto"/>
              <w:jc w:val="center"/>
              <w:rPr>
                <w:rFonts w:ascii="仿宋_GB2312" w:hAnsi="仿宋_GB2312" w:eastAsia="仿宋_GB2312" w:cs="仿宋_GB2312"/>
                <w:color w:val="auto"/>
                <w:sz w:val="24"/>
                <w:szCs w:val="24"/>
              </w:rPr>
            </w:pPr>
          </w:p>
        </w:tc>
        <w:tc>
          <w:tcPr>
            <w:tcW w:w="2040" w:type="dxa"/>
            <w:gridSpan w:val="2"/>
            <w:vAlign w:val="center"/>
          </w:tcPr>
          <w:p>
            <w:pPr>
              <w:spacing w:line="360" w:lineRule="auto"/>
              <w:jc w:val="center"/>
              <w:rPr>
                <w:rFonts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lang w:val="en-US"/>
              </w:rPr>
              <w:t>总得分</w:t>
            </w:r>
          </w:p>
        </w:tc>
        <w:tc>
          <w:tcPr>
            <w:tcW w:w="1993" w:type="dxa"/>
            <w:gridSpan w:val="2"/>
            <w:vAlign w:val="center"/>
          </w:tcPr>
          <w:p>
            <w:pPr>
              <w:spacing w:line="360" w:lineRule="auto"/>
              <w:jc w:val="center"/>
              <w:rPr>
                <w:rFonts w:ascii="仿宋_GB2312" w:hAnsi="仿宋_GB2312" w:eastAsia="仿宋_GB2312" w:cs="仿宋_GB2312"/>
                <w:color w:val="auto"/>
                <w:sz w:val="24"/>
                <w:szCs w:val="24"/>
              </w:rPr>
            </w:pPr>
          </w:p>
        </w:tc>
      </w:tr>
    </w:tbl>
    <w:p>
      <w:pPr>
        <w:rPr>
          <w:rFonts w:ascii="仿宋" w:hAnsi="仿宋" w:eastAsia="仿宋" w:cs="仿宋"/>
          <w:color w:val="auto"/>
          <w:spacing w:val="10"/>
          <w:sz w:val="23"/>
          <w:szCs w:val="23"/>
        </w:rPr>
      </w:pPr>
    </w:p>
    <w:p>
      <w:pPr>
        <w:rPr>
          <w:rFonts w:ascii="仿宋" w:hAnsi="仿宋" w:eastAsia="仿宋" w:cs="仿宋"/>
          <w:color w:val="auto"/>
          <w:spacing w:val="10"/>
          <w:sz w:val="23"/>
          <w:szCs w:val="23"/>
        </w:rPr>
      </w:pPr>
    </w:p>
    <w:p>
      <w:pPr>
        <w:rPr>
          <w:rFonts w:ascii="仿宋" w:hAnsi="仿宋" w:eastAsia="仿宋" w:cs="仿宋"/>
          <w:color w:val="auto"/>
          <w:sz w:val="23"/>
          <w:szCs w:val="23"/>
          <w:u w:val="single"/>
          <w:lang w:val="en-US"/>
        </w:rPr>
      </w:pPr>
      <w:r>
        <w:rPr>
          <w:rFonts w:hint="eastAsia" w:ascii="仿宋" w:hAnsi="仿宋" w:eastAsia="仿宋" w:cs="仿宋"/>
          <w:color w:val="auto"/>
          <w:spacing w:val="10"/>
          <w:sz w:val="23"/>
          <w:szCs w:val="23"/>
        </w:rPr>
        <w:t>参</w:t>
      </w:r>
      <w:r>
        <w:rPr>
          <w:rFonts w:hint="eastAsia" w:ascii="仿宋" w:hAnsi="仿宋" w:eastAsia="仿宋" w:cs="仿宋"/>
          <w:color w:val="auto"/>
          <w:spacing w:val="5"/>
          <w:sz w:val="23"/>
          <w:szCs w:val="23"/>
        </w:rPr>
        <w:t>赛队员</w:t>
      </w:r>
      <w:r>
        <w:rPr>
          <w:rFonts w:hint="eastAsia" w:ascii="仿宋" w:hAnsi="仿宋" w:eastAsia="仿宋" w:cs="仿宋"/>
          <w:color w:val="auto"/>
          <w:spacing w:val="5"/>
          <w:sz w:val="23"/>
          <w:szCs w:val="23"/>
          <w:lang w:val="en-US"/>
        </w:rPr>
        <w:t>签字</w:t>
      </w:r>
      <w:r>
        <w:rPr>
          <w:rFonts w:hint="eastAsia" w:ascii="仿宋" w:hAnsi="仿宋" w:eastAsia="仿宋" w:cs="仿宋"/>
          <w:color w:val="auto"/>
          <w:spacing w:val="5"/>
          <w:sz w:val="23"/>
          <w:szCs w:val="23"/>
        </w:rPr>
        <w:t>：</w:t>
      </w:r>
      <w:r>
        <w:rPr>
          <w:rFonts w:hint="eastAsia" w:ascii="仿宋" w:hAnsi="仿宋" w:eastAsia="仿宋" w:cs="仿宋"/>
          <w:color w:val="auto"/>
          <w:spacing w:val="5"/>
          <w:sz w:val="23"/>
          <w:szCs w:val="23"/>
          <w:u w:val="single"/>
          <w:lang w:val="en-US"/>
        </w:rPr>
        <w:t xml:space="preserve">                                                          </w:t>
      </w:r>
    </w:p>
    <w:p>
      <w:pPr>
        <w:spacing w:before="75" w:line="231" w:lineRule="auto"/>
        <w:rPr>
          <w:rFonts w:ascii="仿宋" w:hAnsi="仿宋" w:eastAsia="仿宋" w:cs="仿宋"/>
          <w:color w:val="auto"/>
          <w:spacing w:val="10"/>
          <w:sz w:val="23"/>
          <w:szCs w:val="23"/>
        </w:rPr>
      </w:pPr>
    </w:p>
    <w:p>
      <w:pPr>
        <w:spacing w:before="75" w:line="231" w:lineRule="auto"/>
        <w:rPr>
          <w:rFonts w:ascii="仿宋" w:hAnsi="仿宋" w:eastAsia="仿宋" w:cs="仿宋"/>
          <w:color w:val="auto"/>
          <w:sz w:val="23"/>
          <w:szCs w:val="23"/>
          <w:u w:val="single"/>
          <w:lang w:val="en-US"/>
        </w:rPr>
      </w:pPr>
      <w:r>
        <w:rPr>
          <w:rFonts w:hint="eastAsia" w:ascii="仿宋" w:hAnsi="仿宋" w:eastAsia="仿宋" w:cs="仿宋"/>
          <w:color w:val="auto"/>
          <w:spacing w:val="5"/>
          <w:sz w:val="23"/>
          <w:szCs w:val="23"/>
        </w:rPr>
        <w:t>裁判员签字：</w:t>
      </w:r>
      <w:r>
        <w:rPr>
          <w:rFonts w:hint="eastAsia" w:ascii="仿宋" w:hAnsi="仿宋" w:eastAsia="仿宋" w:cs="仿宋"/>
          <w:color w:val="auto"/>
          <w:spacing w:val="5"/>
          <w:sz w:val="23"/>
          <w:szCs w:val="23"/>
          <w:u w:val="single"/>
          <w:lang w:val="en-US"/>
        </w:rPr>
        <w:t xml:space="preserve">                                                        </w:t>
      </w:r>
    </w:p>
    <w:p>
      <w:pPr>
        <w:spacing w:before="75" w:line="230" w:lineRule="auto"/>
        <w:rPr>
          <w:rFonts w:ascii="仿宋" w:hAnsi="仿宋" w:eastAsia="仿宋" w:cs="仿宋"/>
          <w:color w:val="auto"/>
          <w:spacing w:val="7"/>
          <w:sz w:val="23"/>
          <w:szCs w:val="23"/>
        </w:rPr>
      </w:pPr>
    </w:p>
    <w:p>
      <w:pPr>
        <w:spacing w:before="75" w:line="230" w:lineRule="auto"/>
        <w:rPr>
          <w:rFonts w:ascii="仿宋_GB2312" w:hAnsi="仿宋_GB2312" w:eastAsia="仿宋_GB2312" w:cs="仿宋_GB2312"/>
          <w:color w:val="auto"/>
        </w:rPr>
      </w:pPr>
      <w:r>
        <w:rPr>
          <w:rFonts w:hint="eastAsia" w:ascii="仿宋" w:hAnsi="仿宋" w:eastAsia="仿宋" w:cs="仿宋"/>
          <w:color w:val="auto"/>
          <w:spacing w:val="7"/>
          <w:sz w:val="23"/>
          <w:szCs w:val="23"/>
        </w:rPr>
        <w:t>取消参赛资格原因：</w:t>
      </w:r>
      <w:r>
        <w:rPr>
          <w:rFonts w:hint="eastAsia" w:ascii="仿宋" w:hAnsi="仿宋" w:eastAsia="仿宋" w:cs="仿宋"/>
          <w:color w:val="auto"/>
          <w:spacing w:val="7"/>
          <w:sz w:val="23"/>
          <w:szCs w:val="23"/>
          <w:u w:val="single"/>
          <w:lang w:val="en-US"/>
        </w:rPr>
        <w:t xml:space="preserve">                                                   </w:t>
      </w:r>
      <w:r>
        <w:rPr>
          <w:rFonts w:hint="eastAsia" w:ascii="仿宋_GB2312" w:hAnsi="仿宋_GB2312" w:eastAsia="仿宋_GB2312" w:cs="仿宋_GB2312"/>
          <w:color w:val="auto"/>
          <w:sz w:val="24"/>
          <w:szCs w:val="24"/>
          <w:lang w:val="en-US"/>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20"/>
      </w:rPr>
    </w:pPr>
    <w:r>
      <w:rPr>
        <w:sz w:val="20"/>
        <w:lang w:val="en-US" w:bidi="ar-SA"/>
      </w:rP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4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fldChar w:fldCharType="begin"/>
                          </w:r>
                          <w:r>
                            <w:instrText xml:space="preserve"> PAGE  \* MERGEFORMAT </w:instrText>
                          </w:r>
                          <w:r>
                            <w:fldChar w:fldCharType="separate"/>
                          </w:r>
                          <w:r>
                            <w:t>- 10 -</w:t>
                          </w:r>
                          <w:r>
                            <w:fldChar w:fldCharType="end"/>
                          </w:r>
                        </w:p>
                      </w:txbxContent>
                    </wps:txbx>
                    <wps:bodyPr vert="horz" wrap="none" lIns="0" tIns="0" rIns="0" bIns="0" anchor="t">
                      <a:spAutoFit/>
                    </wps:bodyPr>
                  </wps:wsp>
                </a:graphicData>
              </a:graphic>
            </wp:anchor>
          </w:drawing>
        </mc:Choice>
        <mc:Fallback>
          <w:pict>
            <v:rect id="文本框 46"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CEA1xkywEAAJMDAAAOAAAAAAAAAAEAIAAAAB8BAABkcnMvZTJv&#10;RG9jLnhtbFBLBQYAAAAABgAGAFkBAABcBQ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- 10 -</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mUxZjYyYTlkMjc3ZjhlMjAxNTRmOTg3MmY2YzUifQ=="/>
  </w:docVars>
  <w:rsids>
    <w:rsidRoot w:val="00F17C8B"/>
    <w:rsid w:val="000373AE"/>
    <w:rsid w:val="00075BBE"/>
    <w:rsid w:val="00080D76"/>
    <w:rsid w:val="001329AD"/>
    <w:rsid w:val="00176A77"/>
    <w:rsid w:val="00227CDF"/>
    <w:rsid w:val="00256255"/>
    <w:rsid w:val="00265937"/>
    <w:rsid w:val="002730ED"/>
    <w:rsid w:val="0029716F"/>
    <w:rsid w:val="002D35D9"/>
    <w:rsid w:val="003246C3"/>
    <w:rsid w:val="00472A90"/>
    <w:rsid w:val="00476CBF"/>
    <w:rsid w:val="00485B3E"/>
    <w:rsid w:val="00486CCB"/>
    <w:rsid w:val="004E0658"/>
    <w:rsid w:val="0052363F"/>
    <w:rsid w:val="0056253F"/>
    <w:rsid w:val="005C7025"/>
    <w:rsid w:val="00607701"/>
    <w:rsid w:val="0061440F"/>
    <w:rsid w:val="0066129F"/>
    <w:rsid w:val="00664D30"/>
    <w:rsid w:val="00694E3F"/>
    <w:rsid w:val="007553A3"/>
    <w:rsid w:val="00784D7A"/>
    <w:rsid w:val="007852BB"/>
    <w:rsid w:val="007A76B8"/>
    <w:rsid w:val="007D5BA2"/>
    <w:rsid w:val="007E4284"/>
    <w:rsid w:val="007F5522"/>
    <w:rsid w:val="008166EF"/>
    <w:rsid w:val="00822457"/>
    <w:rsid w:val="008B1170"/>
    <w:rsid w:val="008E1508"/>
    <w:rsid w:val="008F0053"/>
    <w:rsid w:val="008F2693"/>
    <w:rsid w:val="00992939"/>
    <w:rsid w:val="0099358B"/>
    <w:rsid w:val="009975C8"/>
    <w:rsid w:val="009D1CC2"/>
    <w:rsid w:val="009D5AC0"/>
    <w:rsid w:val="009D6DBD"/>
    <w:rsid w:val="00A14CF1"/>
    <w:rsid w:val="00A31832"/>
    <w:rsid w:val="00A44696"/>
    <w:rsid w:val="00A75FCF"/>
    <w:rsid w:val="00A93723"/>
    <w:rsid w:val="00A9720A"/>
    <w:rsid w:val="00AC6D42"/>
    <w:rsid w:val="00B969E6"/>
    <w:rsid w:val="00BF3657"/>
    <w:rsid w:val="00C44462"/>
    <w:rsid w:val="00C54212"/>
    <w:rsid w:val="00CC7D8B"/>
    <w:rsid w:val="00CD0391"/>
    <w:rsid w:val="00CD31A6"/>
    <w:rsid w:val="00CE19F8"/>
    <w:rsid w:val="00CF68F2"/>
    <w:rsid w:val="00D36074"/>
    <w:rsid w:val="00D46586"/>
    <w:rsid w:val="00D71C8A"/>
    <w:rsid w:val="00D834BF"/>
    <w:rsid w:val="00DD44FF"/>
    <w:rsid w:val="00DE1559"/>
    <w:rsid w:val="00E350ED"/>
    <w:rsid w:val="00E42BA0"/>
    <w:rsid w:val="00EB7436"/>
    <w:rsid w:val="00EC5CC7"/>
    <w:rsid w:val="00EF7323"/>
    <w:rsid w:val="00F14BDE"/>
    <w:rsid w:val="00F17C8B"/>
    <w:rsid w:val="00F41AD1"/>
    <w:rsid w:val="00F42672"/>
    <w:rsid w:val="00F8582D"/>
    <w:rsid w:val="00F86B7F"/>
    <w:rsid w:val="00FD2A9D"/>
    <w:rsid w:val="01056CD4"/>
    <w:rsid w:val="01086C64"/>
    <w:rsid w:val="01161381"/>
    <w:rsid w:val="0184241E"/>
    <w:rsid w:val="02090A33"/>
    <w:rsid w:val="02652A0B"/>
    <w:rsid w:val="027E7FF8"/>
    <w:rsid w:val="02BD239A"/>
    <w:rsid w:val="03220D95"/>
    <w:rsid w:val="04405814"/>
    <w:rsid w:val="05311FB3"/>
    <w:rsid w:val="05BB66AE"/>
    <w:rsid w:val="06C7211E"/>
    <w:rsid w:val="07200C9D"/>
    <w:rsid w:val="079A5410"/>
    <w:rsid w:val="07A3143F"/>
    <w:rsid w:val="08B55E1C"/>
    <w:rsid w:val="08DC72D4"/>
    <w:rsid w:val="09090CF8"/>
    <w:rsid w:val="09460B38"/>
    <w:rsid w:val="09B31CA6"/>
    <w:rsid w:val="0A3F71E7"/>
    <w:rsid w:val="0A59408D"/>
    <w:rsid w:val="0B483A56"/>
    <w:rsid w:val="0BCE255E"/>
    <w:rsid w:val="0C8A3DD3"/>
    <w:rsid w:val="0D103128"/>
    <w:rsid w:val="0D3433D7"/>
    <w:rsid w:val="0D8A3D78"/>
    <w:rsid w:val="0DA442E1"/>
    <w:rsid w:val="0E4C0926"/>
    <w:rsid w:val="0EE17BF8"/>
    <w:rsid w:val="0F0E6EE8"/>
    <w:rsid w:val="0F555725"/>
    <w:rsid w:val="0FB00BF3"/>
    <w:rsid w:val="1149553A"/>
    <w:rsid w:val="11A7392F"/>
    <w:rsid w:val="12092B04"/>
    <w:rsid w:val="123A7859"/>
    <w:rsid w:val="13257202"/>
    <w:rsid w:val="133574DA"/>
    <w:rsid w:val="139551D6"/>
    <w:rsid w:val="13F11F59"/>
    <w:rsid w:val="140A3616"/>
    <w:rsid w:val="14A07D67"/>
    <w:rsid w:val="15D13671"/>
    <w:rsid w:val="15E93D94"/>
    <w:rsid w:val="161E6396"/>
    <w:rsid w:val="16686BCC"/>
    <w:rsid w:val="16E53451"/>
    <w:rsid w:val="16EB0762"/>
    <w:rsid w:val="171C60F0"/>
    <w:rsid w:val="173F5B66"/>
    <w:rsid w:val="175E7186"/>
    <w:rsid w:val="17B2437D"/>
    <w:rsid w:val="1836708B"/>
    <w:rsid w:val="187A71F6"/>
    <w:rsid w:val="19F16090"/>
    <w:rsid w:val="1A4070B3"/>
    <w:rsid w:val="1A54439E"/>
    <w:rsid w:val="1A766595"/>
    <w:rsid w:val="1AD10F75"/>
    <w:rsid w:val="1B2A7C68"/>
    <w:rsid w:val="1B3501FE"/>
    <w:rsid w:val="1B56010D"/>
    <w:rsid w:val="1BB376A3"/>
    <w:rsid w:val="1C1F7405"/>
    <w:rsid w:val="1C2D1B43"/>
    <w:rsid w:val="1CA14B49"/>
    <w:rsid w:val="1CAA5F4B"/>
    <w:rsid w:val="1D553584"/>
    <w:rsid w:val="1D5A65E9"/>
    <w:rsid w:val="1D600920"/>
    <w:rsid w:val="1DBE3108"/>
    <w:rsid w:val="1DC20A62"/>
    <w:rsid w:val="1E3D18A3"/>
    <w:rsid w:val="1E5E181A"/>
    <w:rsid w:val="1EF52A2D"/>
    <w:rsid w:val="1F046865"/>
    <w:rsid w:val="1F817731"/>
    <w:rsid w:val="1FDF784E"/>
    <w:rsid w:val="20271606"/>
    <w:rsid w:val="202F278A"/>
    <w:rsid w:val="20C26BE6"/>
    <w:rsid w:val="20D04273"/>
    <w:rsid w:val="20D22560"/>
    <w:rsid w:val="20E75B59"/>
    <w:rsid w:val="20E76A41"/>
    <w:rsid w:val="213F1987"/>
    <w:rsid w:val="21C32094"/>
    <w:rsid w:val="22462A8A"/>
    <w:rsid w:val="228F04E6"/>
    <w:rsid w:val="22A810DB"/>
    <w:rsid w:val="232C638A"/>
    <w:rsid w:val="23C14D25"/>
    <w:rsid w:val="24573B3B"/>
    <w:rsid w:val="24626592"/>
    <w:rsid w:val="24BE1E58"/>
    <w:rsid w:val="24C16D86"/>
    <w:rsid w:val="24D57369"/>
    <w:rsid w:val="250F234B"/>
    <w:rsid w:val="25737DAF"/>
    <w:rsid w:val="25804B6B"/>
    <w:rsid w:val="25826736"/>
    <w:rsid w:val="26830430"/>
    <w:rsid w:val="26B448EF"/>
    <w:rsid w:val="26FF2560"/>
    <w:rsid w:val="272D27FE"/>
    <w:rsid w:val="279369D8"/>
    <w:rsid w:val="27B150B0"/>
    <w:rsid w:val="27F868B5"/>
    <w:rsid w:val="285E7726"/>
    <w:rsid w:val="295A29D8"/>
    <w:rsid w:val="2A051CFC"/>
    <w:rsid w:val="2A4915D0"/>
    <w:rsid w:val="2BD575BF"/>
    <w:rsid w:val="2C680433"/>
    <w:rsid w:val="2D306C3B"/>
    <w:rsid w:val="2DBA319B"/>
    <w:rsid w:val="2DE040AB"/>
    <w:rsid w:val="2DF756DE"/>
    <w:rsid w:val="2E0F269F"/>
    <w:rsid w:val="2E8452CD"/>
    <w:rsid w:val="2E8C0D2C"/>
    <w:rsid w:val="2EC947E6"/>
    <w:rsid w:val="2F175402"/>
    <w:rsid w:val="2F76782F"/>
    <w:rsid w:val="2F875074"/>
    <w:rsid w:val="30C65D66"/>
    <w:rsid w:val="3103599E"/>
    <w:rsid w:val="31780B5E"/>
    <w:rsid w:val="327E4089"/>
    <w:rsid w:val="3307027A"/>
    <w:rsid w:val="33264BA4"/>
    <w:rsid w:val="33326A4E"/>
    <w:rsid w:val="333D22E9"/>
    <w:rsid w:val="33F16F60"/>
    <w:rsid w:val="33F508A6"/>
    <w:rsid w:val="345823DE"/>
    <w:rsid w:val="347E631A"/>
    <w:rsid w:val="347F3A3E"/>
    <w:rsid w:val="35017650"/>
    <w:rsid w:val="35506178"/>
    <w:rsid w:val="355C43F8"/>
    <w:rsid w:val="357864AF"/>
    <w:rsid w:val="35E9782D"/>
    <w:rsid w:val="363E4D39"/>
    <w:rsid w:val="368F7A08"/>
    <w:rsid w:val="369E07B0"/>
    <w:rsid w:val="36DD3FB4"/>
    <w:rsid w:val="37052879"/>
    <w:rsid w:val="370927A8"/>
    <w:rsid w:val="377834F5"/>
    <w:rsid w:val="378124AA"/>
    <w:rsid w:val="379B60E1"/>
    <w:rsid w:val="37BF15B4"/>
    <w:rsid w:val="37EC05C5"/>
    <w:rsid w:val="38D67CAD"/>
    <w:rsid w:val="39B12CEE"/>
    <w:rsid w:val="39EC2D56"/>
    <w:rsid w:val="3A4974A0"/>
    <w:rsid w:val="3AC47771"/>
    <w:rsid w:val="3AEC2EDD"/>
    <w:rsid w:val="3B6E533A"/>
    <w:rsid w:val="3CAE647F"/>
    <w:rsid w:val="3CBE720A"/>
    <w:rsid w:val="3D1141CF"/>
    <w:rsid w:val="3D3F5991"/>
    <w:rsid w:val="3DBB7569"/>
    <w:rsid w:val="3DE418E4"/>
    <w:rsid w:val="3E4F1FE9"/>
    <w:rsid w:val="3E5656C3"/>
    <w:rsid w:val="3E733B27"/>
    <w:rsid w:val="3EA40AA1"/>
    <w:rsid w:val="3F3736B9"/>
    <w:rsid w:val="3F3C78B3"/>
    <w:rsid w:val="3F7279EC"/>
    <w:rsid w:val="3FF17D2C"/>
    <w:rsid w:val="40356592"/>
    <w:rsid w:val="40AE2DC4"/>
    <w:rsid w:val="40B05AAD"/>
    <w:rsid w:val="40E30BE5"/>
    <w:rsid w:val="41123B17"/>
    <w:rsid w:val="41AF045B"/>
    <w:rsid w:val="41F94748"/>
    <w:rsid w:val="42436E81"/>
    <w:rsid w:val="426F4554"/>
    <w:rsid w:val="42A77EC7"/>
    <w:rsid w:val="42E92116"/>
    <w:rsid w:val="44193498"/>
    <w:rsid w:val="44B01CD8"/>
    <w:rsid w:val="44E320CE"/>
    <w:rsid w:val="45156827"/>
    <w:rsid w:val="451A6000"/>
    <w:rsid w:val="45433394"/>
    <w:rsid w:val="45C20222"/>
    <w:rsid w:val="46380A1F"/>
    <w:rsid w:val="47EC552B"/>
    <w:rsid w:val="482E747E"/>
    <w:rsid w:val="4852493A"/>
    <w:rsid w:val="49195E4F"/>
    <w:rsid w:val="49511A7F"/>
    <w:rsid w:val="49CF3448"/>
    <w:rsid w:val="49F52EC8"/>
    <w:rsid w:val="4A176B9D"/>
    <w:rsid w:val="4A6A4F5B"/>
    <w:rsid w:val="4ABC03C3"/>
    <w:rsid w:val="4AC05A5A"/>
    <w:rsid w:val="4BE93B6A"/>
    <w:rsid w:val="4CA901BB"/>
    <w:rsid w:val="4CCF375F"/>
    <w:rsid w:val="4D394024"/>
    <w:rsid w:val="4D3E354E"/>
    <w:rsid w:val="4EC756E1"/>
    <w:rsid w:val="4EF3571C"/>
    <w:rsid w:val="4F12243A"/>
    <w:rsid w:val="4F183BE6"/>
    <w:rsid w:val="4F464EA2"/>
    <w:rsid w:val="4F5854F3"/>
    <w:rsid w:val="4FDF011A"/>
    <w:rsid w:val="5061396F"/>
    <w:rsid w:val="507356CC"/>
    <w:rsid w:val="508D456A"/>
    <w:rsid w:val="509B22D6"/>
    <w:rsid w:val="51160A34"/>
    <w:rsid w:val="51343C08"/>
    <w:rsid w:val="51612C25"/>
    <w:rsid w:val="51CE622D"/>
    <w:rsid w:val="52B76D8C"/>
    <w:rsid w:val="52CA0C50"/>
    <w:rsid w:val="53502941"/>
    <w:rsid w:val="544A2F0F"/>
    <w:rsid w:val="5477195C"/>
    <w:rsid w:val="548F48DF"/>
    <w:rsid w:val="54A11E85"/>
    <w:rsid w:val="55054CF5"/>
    <w:rsid w:val="55981BE9"/>
    <w:rsid w:val="56184C9D"/>
    <w:rsid w:val="56264741"/>
    <w:rsid w:val="567B0038"/>
    <w:rsid w:val="56BC2FA6"/>
    <w:rsid w:val="56E56FCD"/>
    <w:rsid w:val="56ED55FF"/>
    <w:rsid w:val="579937D4"/>
    <w:rsid w:val="580E7831"/>
    <w:rsid w:val="580F361E"/>
    <w:rsid w:val="585119A0"/>
    <w:rsid w:val="588C68DC"/>
    <w:rsid w:val="58C34A20"/>
    <w:rsid w:val="5969412A"/>
    <w:rsid w:val="59DC377F"/>
    <w:rsid w:val="5A6C6A91"/>
    <w:rsid w:val="5A902780"/>
    <w:rsid w:val="5AC87FFD"/>
    <w:rsid w:val="5B515455"/>
    <w:rsid w:val="5B6F05E7"/>
    <w:rsid w:val="5CAB1B55"/>
    <w:rsid w:val="5D77432A"/>
    <w:rsid w:val="5DA16A52"/>
    <w:rsid w:val="5DE5254C"/>
    <w:rsid w:val="5E5E5AAC"/>
    <w:rsid w:val="5EDA046D"/>
    <w:rsid w:val="5EF01A3F"/>
    <w:rsid w:val="5F3705C4"/>
    <w:rsid w:val="5F635BF1"/>
    <w:rsid w:val="5FBD3CFB"/>
    <w:rsid w:val="5FE80968"/>
    <w:rsid w:val="5FFA4D07"/>
    <w:rsid w:val="60504735"/>
    <w:rsid w:val="60964868"/>
    <w:rsid w:val="60B46961"/>
    <w:rsid w:val="610716C5"/>
    <w:rsid w:val="6143430C"/>
    <w:rsid w:val="615304FE"/>
    <w:rsid w:val="624372F1"/>
    <w:rsid w:val="624B1D15"/>
    <w:rsid w:val="62704A45"/>
    <w:rsid w:val="62BF5F4D"/>
    <w:rsid w:val="636263FA"/>
    <w:rsid w:val="63755DA4"/>
    <w:rsid w:val="63A0423C"/>
    <w:rsid w:val="63EB6C79"/>
    <w:rsid w:val="641732E4"/>
    <w:rsid w:val="641B697F"/>
    <w:rsid w:val="6484064A"/>
    <w:rsid w:val="648517AD"/>
    <w:rsid w:val="64B411CA"/>
    <w:rsid w:val="651A2071"/>
    <w:rsid w:val="65276ABB"/>
    <w:rsid w:val="659849CD"/>
    <w:rsid w:val="66AA2CF6"/>
    <w:rsid w:val="66CE2D9D"/>
    <w:rsid w:val="66E520A5"/>
    <w:rsid w:val="66F41E52"/>
    <w:rsid w:val="672A7AB8"/>
    <w:rsid w:val="67790849"/>
    <w:rsid w:val="67922112"/>
    <w:rsid w:val="67D538F8"/>
    <w:rsid w:val="68072DD9"/>
    <w:rsid w:val="69110F2F"/>
    <w:rsid w:val="6956253D"/>
    <w:rsid w:val="697F7245"/>
    <w:rsid w:val="69954DFA"/>
    <w:rsid w:val="69BA3040"/>
    <w:rsid w:val="6A292C42"/>
    <w:rsid w:val="6A2E3D63"/>
    <w:rsid w:val="6AAC5A8A"/>
    <w:rsid w:val="6B4D068F"/>
    <w:rsid w:val="6B700E43"/>
    <w:rsid w:val="6BF6265F"/>
    <w:rsid w:val="6C4B1611"/>
    <w:rsid w:val="6C896D53"/>
    <w:rsid w:val="6C920A59"/>
    <w:rsid w:val="6CB0278D"/>
    <w:rsid w:val="6CB304CE"/>
    <w:rsid w:val="6CBF5146"/>
    <w:rsid w:val="6D260D22"/>
    <w:rsid w:val="6DC70BA6"/>
    <w:rsid w:val="6DFC5FDF"/>
    <w:rsid w:val="6E2D0440"/>
    <w:rsid w:val="6EBC193D"/>
    <w:rsid w:val="6F0C3AA7"/>
    <w:rsid w:val="701B0E2E"/>
    <w:rsid w:val="702A612A"/>
    <w:rsid w:val="703F5A70"/>
    <w:rsid w:val="70507A6D"/>
    <w:rsid w:val="705143F3"/>
    <w:rsid w:val="709D30CD"/>
    <w:rsid w:val="714B6FA9"/>
    <w:rsid w:val="71830BFC"/>
    <w:rsid w:val="71F1013E"/>
    <w:rsid w:val="73075F72"/>
    <w:rsid w:val="732A61AD"/>
    <w:rsid w:val="73AD3F4B"/>
    <w:rsid w:val="73B06A07"/>
    <w:rsid w:val="73D8455B"/>
    <w:rsid w:val="73F50F64"/>
    <w:rsid w:val="74347792"/>
    <w:rsid w:val="7649464A"/>
    <w:rsid w:val="7837228E"/>
    <w:rsid w:val="784B3176"/>
    <w:rsid w:val="787369AE"/>
    <w:rsid w:val="7935074A"/>
    <w:rsid w:val="793F6496"/>
    <w:rsid w:val="79A809F5"/>
    <w:rsid w:val="7A1D2B9F"/>
    <w:rsid w:val="7A5F303B"/>
    <w:rsid w:val="7AF02F1C"/>
    <w:rsid w:val="7B23675D"/>
    <w:rsid w:val="7B3D3D0F"/>
    <w:rsid w:val="7B8A4C7B"/>
    <w:rsid w:val="7C352D2F"/>
    <w:rsid w:val="7C676D2C"/>
    <w:rsid w:val="7CA3413D"/>
    <w:rsid w:val="7CA77B4F"/>
    <w:rsid w:val="7D30310A"/>
    <w:rsid w:val="7D3D0D49"/>
    <w:rsid w:val="7D715FE9"/>
    <w:rsid w:val="7DF86D11"/>
    <w:rsid w:val="7E9262B9"/>
    <w:rsid w:val="7F30251A"/>
    <w:rsid w:val="7F4708D7"/>
    <w:rsid w:val="7F6D1AF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nhideWhenUsed="0" w:uiPriority="1"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line="569" w:lineRule="exact"/>
      <w:ind w:left="1061" w:right="1075"/>
      <w:jc w:val="center"/>
      <w:outlineLvl w:val="0"/>
    </w:pPr>
    <w:rPr>
      <w:rFonts w:ascii="Microsoft JhengHei" w:hAnsi="Microsoft JhengHei" w:eastAsia="Microsoft JhengHei" w:cs="Microsoft JhengHei"/>
      <w:b/>
      <w:bCs/>
      <w:sz w:val="36"/>
      <w:szCs w:val="36"/>
    </w:rPr>
  </w:style>
  <w:style w:type="paragraph" w:styleId="3">
    <w:name w:val="heading 4"/>
    <w:basedOn w:val="1"/>
    <w:next w:val="1"/>
    <w:qFormat/>
    <w:uiPriority w:val="1"/>
    <w:pPr>
      <w:ind w:left="877" w:hanging="430"/>
      <w:outlineLvl w:val="3"/>
    </w:pPr>
    <w:rPr>
      <w:rFonts w:ascii="Microsoft JhengHei" w:hAnsi="Microsoft JhengHei" w:eastAsia="Microsoft JhengHei" w:cs="Microsoft JhengHei"/>
      <w:b/>
      <w:bCs/>
      <w:sz w:val="24"/>
      <w:szCs w:val="24"/>
    </w:rPr>
  </w:style>
  <w:style w:type="paragraph" w:styleId="4">
    <w:name w:val="heading 5"/>
    <w:basedOn w:val="1"/>
    <w:next w:val="1"/>
    <w:unhideWhenUsed/>
    <w:qFormat/>
    <w:uiPriority w:val="9"/>
    <w:pPr>
      <w:keepNext/>
      <w:keepLines/>
      <w:spacing w:before="280" w:after="290" w:line="372" w:lineRule="auto"/>
      <w:outlineLvl w:val="4"/>
    </w:pPr>
    <w:rPr>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ody Text"/>
    <w:basedOn w:val="1"/>
    <w:qFormat/>
    <w:uiPriority w:val="1"/>
    <w:pPr>
      <w:ind w:left="640"/>
    </w:pPr>
    <w:rPr>
      <w:sz w:val="24"/>
      <w:szCs w:val="24"/>
    </w:rPr>
  </w:style>
  <w:style w:type="paragraph" w:styleId="7">
    <w:name w:val="Balloon Text"/>
    <w:basedOn w:val="1"/>
    <w:link w:val="14"/>
    <w:semiHidden/>
    <w:unhideWhenUsed/>
    <w:qFormat/>
    <w:uiPriority w:val="99"/>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annotation reference"/>
    <w:basedOn w:val="11"/>
    <w:qFormat/>
    <w:uiPriority w:val="0"/>
    <w:rPr>
      <w:sz w:val="21"/>
      <w:szCs w:val="21"/>
    </w:rPr>
  </w:style>
  <w:style w:type="paragraph" w:styleId="13">
    <w:name w:val="List Paragraph"/>
    <w:basedOn w:val="1"/>
    <w:qFormat/>
    <w:uiPriority w:val="1"/>
    <w:pPr>
      <w:ind w:left="640" w:firstLine="420"/>
    </w:pPr>
  </w:style>
  <w:style w:type="character" w:customStyle="1" w:styleId="14">
    <w:name w:val="批注框文本 Char"/>
    <w:basedOn w:val="11"/>
    <w:link w:val="7"/>
    <w:semiHidden/>
    <w:qFormat/>
    <w:uiPriority w:val="99"/>
    <w:rPr>
      <w:rFonts w:ascii="宋体" w:hAnsi="宋体" w:cs="宋体"/>
      <w:sz w:val="18"/>
      <w:szCs w:val="18"/>
      <w:lang w:val="zh-CN" w:bidi="zh-CN"/>
    </w:rPr>
  </w:style>
  <w:style w:type="character" w:customStyle="1" w:styleId="15">
    <w:name w:val="页眉 Char"/>
    <w:basedOn w:val="11"/>
    <w:link w:val="9"/>
    <w:qFormat/>
    <w:uiPriority w:val="99"/>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emf"/><Relationship Id="rId6" Type="http://schemas.openxmlformats.org/officeDocument/2006/relationships/image" Target="media/image1.jpeg"/><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customXml" Target="../customXml/item20.xml"/><Relationship Id="rId45" Type="http://schemas.openxmlformats.org/officeDocument/2006/relationships/customXml" Target="../customXml/item19.xml"/><Relationship Id="rId44" Type="http://schemas.openxmlformats.org/officeDocument/2006/relationships/customXml" Target="../customXml/item18.xml"/><Relationship Id="rId43" Type="http://schemas.openxmlformats.org/officeDocument/2006/relationships/customXml" Target="../customXml/item17.xml"/><Relationship Id="rId42" Type="http://schemas.openxmlformats.org/officeDocument/2006/relationships/customXml" Target="../customXml/item16.xml"/><Relationship Id="rId41" Type="http://schemas.openxmlformats.org/officeDocument/2006/relationships/customXml" Target="../customXml/item15.xml"/><Relationship Id="rId40" Type="http://schemas.openxmlformats.org/officeDocument/2006/relationships/customXml" Target="../customXml/item14.xml"/><Relationship Id="rId4" Type="http://schemas.openxmlformats.org/officeDocument/2006/relationships/footer" Target="footer2.xml"/><Relationship Id="rId39" Type="http://schemas.openxmlformats.org/officeDocument/2006/relationships/customXml" Target="../customXml/item13.xml"/><Relationship Id="rId38" Type="http://schemas.openxmlformats.org/officeDocument/2006/relationships/customXml" Target="../customXml/item12.xml"/><Relationship Id="rId37" Type="http://schemas.openxmlformats.org/officeDocument/2006/relationships/customXml" Target="../customXml/item11.xml"/><Relationship Id="rId36" Type="http://schemas.openxmlformats.org/officeDocument/2006/relationships/customXml" Target="../customXml/item10.xml"/><Relationship Id="rId35" Type="http://schemas.openxmlformats.org/officeDocument/2006/relationships/customXml" Target="../customXml/item9.xml"/><Relationship Id="rId34" Type="http://schemas.openxmlformats.org/officeDocument/2006/relationships/customXml" Target="../customXml/item8.xml"/><Relationship Id="rId33" Type="http://schemas.openxmlformats.org/officeDocument/2006/relationships/customXml" Target="../customXml/item7.xml"/><Relationship Id="rId32" Type="http://schemas.openxmlformats.org/officeDocument/2006/relationships/customXml" Target="../customXml/item6.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footer" Target="footer1.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F98EC48-152C-4BEF-AB7F-47693285816D}">
  <ds:schemaRefs/>
</ds:datastoreItem>
</file>

<file path=customXml/itemProps11.xml><?xml version="1.0" encoding="utf-8"?>
<ds:datastoreItem xmlns:ds="http://schemas.openxmlformats.org/officeDocument/2006/customXml" ds:itemID="{C58383B2-3951-4079-B541-C3010499BA5B}">
  <ds:schemaRefs/>
</ds:datastoreItem>
</file>

<file path=customXml/itemProps12.xml><?xml version="1.0" encoding="utf-8"?>
<ds:datastoreItem xmlns:ds="http://schemas.openxmlformats.org/officeDocument/2006/customXml" ds:itemID="{D378C77E-6C62-4692-B008-9D12A26FA9F6}">
  <ds:schemaRefs/>
</ds:datastoreItem>
</file>

<file path=customXml/itemProps13.xml><?xml version="1.0" encoding="utf-8"?>
<ds:datastoreItem xmlns:ds="http://schemas.openxmlformats.org/officeDocument/2006/customXml" ds:itemID="{7036B6EC-055E-4CCC-9C2E-F3ABF76B2644}">
  <ds:schemaRefs/>
</ds:datastoreItem>
</file>

<file path=customXml/itemProps14.xml><?xml version="1.0" encoding="utf-8"?>
<ds:datastoreItem xmlns:ds="http://schemas.openxmlformats.org/officeDocument/2006/customXml" ds:itemID="{5FB61B5B-1AF4-49A5-AE79-1F2CA7696676}">
  <ds:schemaRefs/>
</ds:datastoreItem>
</file>

<file path=customXml/itemProps15.xml><?xml version="1.0" encoding="utf-8"?>
<ds:datastoreItem xmlns:ds="http://schemas.openxmlformats.org/officeDocument/2006/customXml" ds:itemID="{4621B4E5-CF76-4535-BE65-5A7BDA1FACE8}">
  <ds:schemaRefs/>
</ds:datastoreItem>
</file>

<file path=customXml/itemProps16.xml><?xml version="1.0" encoding="utf-8"?>
<ds:datastoreItem xmlns:ds="http://schemas.openxmlformats.org/officeDocument/2006/customXml" ds:itemID="{1BAC5A8D-C448-425D-848C-C626DD8FCDBF}">
  <ds:schemaRefs/>
</ds:datastoreItem>
</file>

<file path=customXml/itemProps17.xml><?xml version="1.0" encoding="utf-8"?>
<ds:datastoreItem xmlns:ds="http://schemas.openxmlformats.org/officeDocument/2006/customXml" ds:itemID="{4C2CFCA7-58B2-4CB2-976C-5AB64A391030}">
  <ds:schemaRefs/>
</ds:datastoreItem>
</file>

<file path=customXml/itemProps18.xml><?xml version="1.0" encoding="utf-8"?>
<ds:datastoreItem xmlns:ds="http://schemas.openxmlformats.org/officeDocument/2006/customXml" ds:itemID="{906880B1-337E-4F8C-8055-E18EDE3AD53E}">
  <ds:schemaRefs/>
</ds:datastoreItem>
</file>

<file path=customXml/itemProps19.xml><?xml version="1.0" encoding="utf-8"?>
<ds:datastoreItem xmlns:ds="http://schemas.openxmlformats.org/officeDocument/2006/customXml" ds:itemID="{5A9FA8B9-7D1D-4B82-9BFE-E2C467309005}">
  <ds:schemaRefs/>
</ds:datastoreItem>
</file>

<file path=customXml/itemProps2.xml><?xml version="1.0" encoding="utf-8"?>
<ds:datastoreItem xmlns:ds="http://schemas.openxmlformats.org/officeDocument/2006/customXml" ds:itemID="{4C09B56C-5B2E-4E23-8692-D0A133ABD506}">
  <ds:schemaRefs/>
</ds:datastoreItem>
</file>

<file path=customXml/itemProps20.xml><?xml version="1.0" encoding="utf-8"?>
<ds:datastoreItem xmlns:ds="http://schemas.openxmlformats.org/officeDocument/2006/customXml" ds:itemID="{5CB169DD-99A0-40C0-90B6-4C9452EA9630}">
  <ds:schemaRefs/>
</ds:datastoreItem>
</file>

<file path=customXml/itemProps3.xml><?xml version="1.0" encoding="utf-8"?>
<ds:datastoreItem xmlns:ds="http://schemas.openxmlformats.org/officeDocument/2006/customXml" ds:itemID="{E149EA24-450A-434F-8C3D-5B424C42FCD2}">
  <ds:schemaRefs/>
</ds:datastoreItem>
</file>

<file path=customXml/itemProps4.xml><?xml version="1.0" encoding="utf-8"?>
<ds:datastoreItem xmlns:ds="http://schemas.openxmlformats.org/officeDocument/2006/customXml" ds:itemID="{654BAEA6-710E-4A1C-9DC8-F5E17F6176F5}">
  <ds:schemaRefs/>
</ds:datastoreItem>
</file>

<file path=customXml/itemProps5.xml><?xml version="1.0" encoding="utf-8"?>
<ds:datastoreItem xmlns:ds="http://schemas.openxmlformats.org/officeDocument/2006/customXml" ds:itemID="{C72BC91B-5ADA-43F6-B614-0408BB8B4622}">
  <ds:schemaRefs/>
</ds:datastoreItem>
</file>

<file path=customXml/itemProps6.xml><?xml version="1.0" encoding="utf-8"?>
<ds:datastoreItem xmlns:ds="http://schemas.openxmlformats.org/officeDocument/2006/customXml" ds:itemID="{7AACA654-FE87-4305-A2F3-12F9BAA9FD86}">
  <ds:schemaRefs/>
</ds:datastoreItem>
</file>

<file path=customXml/itemProps7.xml><?xml version="1.0" encoding="utf-8"?>
<ds:datastoreItem xmlns:ds="http://schemas.openxmlformats.org/officeDocument/2006/customXml" ds:itemID="{9074ABB0-CF22-4D31-87CD-A405567EE281}">
  <ds:schemaRefs/>
</ds:datastoreItem>
</file>

<file path=customXml/itemProps8.xml><?xml version="1.0" encoding="utf-8"?>
<ds:datastoreItem xmlns:ds="http://schemas.openxmlformats.org/officeDocument/2006/customXml" ds:itemID="{75DD51DD-9C5B-4E44-9BA8-022814D42061}">
  <ds:schemaRefs/>
</ds:datastoreItem>
</file>

<file path=customXml/itemProps9.xml><?xml version="1.0" encoding="utf-8"?>
<ds:datastoreItem xmlns:ds="http://schemas.openxmlformats.org/officeDocument/2006/customXml" ds:itemID="{B587460F-1E0B-49C2-8496-2572556742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5060</Words>
  <Characters>5476</Characters>
  <Lines>45</Lines>
  <Paragraphs>12</Paragraphs>
  <TotalTime>0</TotalTime>
  <ScaleCrop>false</ScaleCrop>
  <LinksUpToDate>false</LinksUpToDate>
  <CharactersWithSpaces>6015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2021-11-04T06:09:00Z</dcterms:created>
  <dc:creator>ZHL</dc:creator>
  <cp:lastModifiedBy>Jack刘</cp:lastModifiedBy>
  <dcterms:modified xsi:type="dcterms:W3CDTF">2023-01-16T15:49:53Z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007BD70E2B5A420C87908FDD5A0B40D5</vt:lpwstr>
  </property>
</Properties>
</file>