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FD13B3">
      <w:pPr>
        <w:ind w:left="105" w:leftChars="50" w:firstLine="360" w:firstLineChars="150"/>
        <w:rPr>
          <w:rFonts w:hint="default" w:ascii="仿宋_GB2312" w:eastAsia="仿宋_GB2312"/>
          <w:spacing w:val="-20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pacing w:val="-20"/>
          <w:sz w:val="28"/>
          <w:szCs w:val="28"/>
          <w:lang w:val="en-US" w:eastAsia="zh-CN"/>
        </w:rPr>
        <w:t>附件3：</w:t>
      </w:r>
    </w:p>
    <w:tbl>
      <w:tblPr>
        <w:tblStyle w:val="3"/>
        <w:tblW w:w="86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2595"/>
        <w:gridCol w:w="750"/>
        <w:gridCol w:w="1845"/>
        <w:gridCol w:w="2535"/>
      </w:tblGrid>
      <w:tr w14:paraId="5E298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56" w:type="dxa"/>
            <w:gridSpan w:val="5"/>
            <w:noWrap w:val="0"/>
            <w:vAlign w:val="top"/>
          </w:tcPr>
          <w:p w14:paraId="6FD60F74">
            <w:pP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材料1：双面麻</w:t>
            </w:r>
          </w:p>
        </w:tc>
      </w:tr>
      <w:tr w14:paraId="28B40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noWrap w:val="0"/>
            <w:vAlign w:val="center"/>
          </w:tcPr>
          <w:p w14:paraId="76485799"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5190" w:type="dxa"/>
            <w:gridSpan w:val="3"/>
            <w:noWrap w:val="0"/>
            <w:vAlign w:val="center"/>
          </w:tcPr>
          <w:p w14:paraId="0837E963"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项   目</w:t>
            </w:r>
          </w:p>
        </w:tc>
        <w:tc>
          <w:tcPr>
            <w:tcW w:w="2535" w:type="dxa"/>
            <w:noWrap w:val="0"/>
            <w:vAlign w:val="center"/>
          </w:tcPr>
          <w:p w14:paraId="4BB8D5EC"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指标</w:t>
            </w:r>
          </w:p>
        </w:tc>
      </w:tr>
      <w:tr w14:paraId="73355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noWrap w:val="0"/>
            <w:vAlign w:val="center"/>
          </w:tcPr>
          <w:p w14:paraId="27D89300"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5190" w:type="dxa"/>
            <w:gridSpan w:val="3"/>
            <w:noWrap w:val="0"/>
            <w:vAlign w:val="center"/>
          </w:tcPr>
          <w:p w14:paraId="3FEF2E02">
            <w:pPr>
              <w:jc w:val="both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异味</w:t>
            </w:r>
          </w:p>
        </w:tc>
        <w:tc>
          <w:tcPr>
            <w:tcW w:w="2535" w:type="dxa"/>
            <w:noWrap w:val="0"/>
            <w:vAlign w:val="center"/>
          </w:tcPr>
          <w:p w14:paraId="1A0A3098"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无</w:t>
            </w:r>
          </w:p>
        </w:tc>
      </w:tr>
      <w:tr w14:paraId="36491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noWrap w:val="0"/>
            <w:vAlign w:val="center"/>
          </w:tcPr>
          <w:p w14:paraId="6D92DE13"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5190" w:type="dxa"/>
            <w:gridSpan w:val="3"/>
            <w:noWrap w:val="0"/>
            <w:vAlign w:val="center"/>
          </w:tcPr>
          <w:p w14:paraId="2D55971B">
            <w:pPr>
              <w:jc w:val="both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甲醛含量（mg/kg）</w:t>
            </w:r>
          </w:p>
        </w:tc>
        <w:tc>
          <w:tcPr>
            <w:tcW w:w="2535" w:type="dxa"/>
            <w:noWrap w:val="0"/>
            <w:vAlign w:val="center"/>
          </w:tcPr>
          <w:p w14:paraId="1A6DB8C5"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≤75</w:t>
            </w:r>
          </w:p>
        </w:tc>
      </w:tr>
      <w:tr w14:paraId="5908F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noWrap w:val="0"/>
            <w:vAlign w:val="center"/>
          </w:tcPr>
          <w:p w14:paraId="6B665232"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5190" w:type="dxa"/>
            <w:gridSpan w:val="3"/>
            <w:noWrap w:val="0"/>
            <w:vAlign w:val="center"/>
          </w:tcPr>
          <w:p w14:paraId="4707834A">
            <w:pPr>
              <w:jc w:val="both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pH</w:t>
            </w:r>
          </w:p>
        </w:tc>
        <w:tc>
          <w:tcPr>
            <w:tcW w:w="2535" w:type="dxa"/>
            <w:noWrap w:val="0"/>
            <w:vAlign w:val="center"/>
          </w:tcPr>
          <w:p w14:paraId="35E242FB"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4.0-8.5</w:t>
            </w:r>
          </w:p>
        </w:tc>
      </w:tr>
      <w:tr w14:paraId="53617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931" w:type="dxa"/>
            <w:vMerge w:val="restart"/>
            <w:noWrap w:val="0"/>
            <w:vAlign w:val="center"/>
          </w:tcPr>
          <w:p w14:paraId="3E9EB352"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3345" w:type="dxa"/>
            <w:gridSpan w:val="2"/>
            <w:vMerge w:val="restart"/>
            <w:noWrap w:val="0"/>
            <w:vAlign w:val="center"/>
          </w:tcPr>
          <w:p w14:paraId="77C902F6">
            <w:pPr>
              <w:jc w:val="both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耐水色牢度（级）</w:t>
            </w:r>
          </w:p>
        </w:tc>
        <w:tc>
          <w:tcPr>
            <w:tcW w:w="1845" w:type="dxa"/>
            <w:noWrap w:val="0"/>
            <w:vAlign w:val="center"/>
          </w:tcPr>
          <w:p w14:paraId="65AFAA0A">
            <w:pPr>
              <w:jc w:val="both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变色</w:t>
            </w:r>
          </w:p>
        </w:tc>
        <w:tc>
          <w:tcPr>
            <w:tcW w:w="2535" w:type="dxa"/>
            <w:vMerge w:val="restart"/>
            <w:noWrap w:val="0"/>
            <w:vAlign w:val="center"/>
          </w:tcPr>
          <w:p w14:paraId="1DDA186B"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≥4</w:t>
            </w:r>
          </w:p>
        </w:tc>
      </w:tr>
      <w:tr w14:paraId="020AD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931" w:type="dxa"/>
            <w:vMerge w:val="continue"/>
            <w:noWrap w:val="0"/>
            <w:vAlign w:val="center"/>
          </w:tcPr>
          <w:p w14:paraId="3ADF4F9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345" w:type="dxa"/>
            <w:gridSpan w:val="2"/>
            <w:vMerge w:val="continue"/>
            <w:noWrap w:val="0"/>
            <w:vAlign w:val="center"/>
          </w:tcPr>
          <w:p w14:paraId="66FB5DF5">
            <w:pPr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845" w:type="dxa"/>
            <w:noWrap w:val="0"/>
            <w:vAlign w:val="center"/>
          </w:tcPr>
          <w:p w14:paraId="3D95DDA8">
            <w:pPr>
              <w:jc w:val="both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沾色</w:t>
            </w:r>
          </w:p>
        </w:tc>
        <w:tc>
          <w:tcPr>
            <w:tcW w:w="2535" w:type="dxa"/>
            <w:vMerge w:val="continue"/>
            <w:noWrap w:val="0"/>
            <w:vAlign w:val="center"/>
          </w:tcPr>
          <w:p w14:paraId="4B821FB4"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D110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931" w:type="dxa"/>
            <w:vMerge w:val="restart"/>
            <w:noWrap w:val="0"/>
            <w:vAlign w:val="center"/>
          </w:tcPr>
          <w:p w14:paraId="35103F6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345" w:type="dxa"/>
            <w:gridSpan w:val="2"/>
            <w:vMerge w:val="restart"/>
            <w:noWrap w:val="0"/>
            <w:vAlign w:val="center"/>
          </w:tcPr>
          <w:p w14:paraId="3EAD24A4">
            <w:pPr>
              <w:jc w:val="both"/>
              <w:rPr>
                <w:rFonts w:hint="eastAsia" w:ascii="仿宋" w:hAnsi="仿宋" w:eastAsia="仿宋" w:cs="仿宋"/>
                <w:spacing w:val="-2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耐唾液色牢度（级）</w:t>
            </w:r>
          </w:p>
        </w:tc>
        <w:tc>
          <w:tcPr>
            <w:tcW w:w="1845" w:type="dxa"/>
            <w:noWrap w:val="0"/>
            <w:vAlign w:val="center"/>
          </w:tcPr>
          <w:p w14:paraId="61ABE1F1">
            <w:pPr>
              <w:jc w:val="both"/>
              <w:rPr>
                <w:rFonts w:hint="eastAsia" w:ascii="仿宋" w:hAnsi="仿宋" w:eastAsia="仿宋" w:cs="仿宋"/>
                <w:spacing w:val="-2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变色</w:t>
            </w:r>
          </w:p>
        </w:tc>
        <w:tc>
          <w:tcPr>
            <w:tcW w:w="2535" w:type="dxa"/>
            <w:vMerge w:val="restart"/>
            <w:noWrap w:val="0"/>
            <w:vAlign w:val="center"/>
          </w:tcPr>
          <w:p w14:paraId="5041E4E8"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≥4</w:t>
            </w:r>
          </w:p>
        </w:tc>
      </w:tr>
      <w:tr w14:paraId="47189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931" w:type="dxa"/>
            <w:vMerge w:val="continue"/>
            <w:noWrap w:val="0"/>
            <w:vAlign w:val="center"/>
          </w:tcPr>
          <w:p w14:paraId="650BD51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345" w:type="dxa"/>
            <w:gridSpan w:val="2"/>
            <w:vMerge w:val="continue"/>
            <w:noWrap w:val="0"/>
            <w:vAlign w:val="center"/>
          </w:tcPr>
          <w:p w14:paraId="3568ECDC">
            <w:pPr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845" w:type="dxa"/>
            <w:noWrap w:val="0"/>
            <w:vAlign w:val="center"/>
          </w:tcPr>
          <w:p w14:paraId="649F9515">
            <w:pPr>
              <w:jc w:val="both"/>
              <w:rPr>
                <w:rFonts w:hint="eastAsia" w:ascii="仿宋" w:hAnsi="仿宋" w:eastAsia="仿宋" w:cs="仿宋"/>
                <w:spacing w:val="-2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沾色</w:t>
            </w:r>
          </w:p>
        </w:tc>
        <w:tc>
          <w:tcPr>
            <w:tcW w:w="2535" w:type="dxa"/>
            <w:vMerge w:val="continue"/>
            <w:noWrap w:val="0"/>
            <w:vAlign w:val="center"/>
          </w:tcPr>
          <w:p w14:paraId="50B3E978"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C9B9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31" w:type="dxa"/>
            <w:vMerge w:val="restart"/>
            <w:noWrap w:val="0"/>
            <w:vAlign w:val="center"/>
          </w:tcPr>
          <w:p w14:paraId="15BD728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345" w:type="dxa"/>
            <w:gridSpan w:val="2"/>
            <w:vMerge w:val="restart"/>
            <w:noWrap w:val="0"/>
            <w:vAlign w:val="center"/>
          </w:tcPr>
          <w:p w14:paraId="4F6A4E20">
            <w:pPr>
              <w:spacing w:after="0"/>
              <w:ind w:left="182" w:leftChars="0"/>
              <w:jc w:val="both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抗紫外线性能</w:t>
            </w:r>
          </w:p>
        </w:tc>
        <w:tc>
          <w:tcPr>
            <w:tcW w:w="1845" w:type="dxa"/>
            <w:noWrap w:val="0"/>
            <w:vAlign w:val="center"/>
          </w:tcPr>
          <w:p w14:paraId="6E963894">
            <w:pPr>
              <w:spacing w:after="0"/>
              <w:jc w:val="both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UPF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subscript"/>
              </w:rPr>
              <w:t>AV</w:t>
            </w:r>
          </w:p>
        </w:tc>
        <w:tc>
          <w:tcPr>
            <w:tcW w:w="2535" w:type="dxa"/>
            <w:noWrap w:val="0"/>
            <w:vAlign w:val="center"/>
          </w:tcPr>
          <w:p w14:paraId="12313785">
            <w:pPr>
              <w:spacing w:after="0"/>
              <w:ind w:left="3" w:left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/</w:t>
            </w:r>
          </w:p>
        </w:tc>
      </w:tr>
      <w:tr w14:paraId="0B63E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931" w:type="dxa"/>
            <w:vMerge w:val="continue"/>
            <w:noWrap w:val="0"/>
            <w:vAlign w:val="center"/>
          </w:tcPr>
          <w:p w14:paraId="63A74E8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345" w:type="dxa"/>
            <w:gridSpan w:val="2"/>
            <w:vMerge w:val="continue"/>
            <w:noWrap w:val="0"/>
            <w:vAlign w:val="center"/>
          </w:tcPr>
          <w:p w14:paraId="5FAEA021">
            <w:pPr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845" w:type="dxa"/>
            <w:noWrap w:val="0"/>
            <w:vAlign w:val="center"/>
          </w:tcPr>
          <w:p w14:paraId="76136B1D">
            <w:pPr>
              <w:spacing w:after="0"/>
              <w:jc w:val="both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UPF 值</w:t>
            </w:r>
          </w:p>
        </w:tc>
        <w:tc>
          <w:tcPr>
            <w:tcW w:w="2535" w:type="dxa"/>
            <w:noWrap w:val="0"/>
            <w:vAlign w:val="center"/>
          </w:tcPr>
          <w:p w14:paraId="5CAA9850">
            <w:pPr>
              <w:spacing w:after="0"/>
              <w:ind w:left="2" w:left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＞41</w:t>
            </w:r>
          </w:p>
        </w:tc>
      </w:tr>
      <w:tr w14:paraId="12903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931" w:type="dxa"/>
            <w:vMerge w:val="continue"/>
            <w:noWrap w:val="0"/>
            <w:vAlign w:val="center"/>
          </w:tcPr>
          <w:p w14:paraId="6F1EC7A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345" w:type="dxa"/>
            <w:gridSpan w:val="2"/>
            <w:vMerge w:val="continue"/>
            <w:noWrap w:val="0"/>
            <w:vAlign w:val="center"/>
          </w:tcPr>
          <w:p w14:paraId="78038792">
            <w:pPr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845" w:type="dxa"/>
            <w:noWrap w:val="0"/>
            <w:vAlign w:val="center"/>
          </w:tcPr>
          <w:p w14:paraId="25CEAADC">
            <w:pPr>
              <w:spacing w:after="9"/>
              <w:ind w:left="170"/>
              <w:jc w:val="both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T(UVA)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subscript"/>
              </w:rPr>
              <w:t>AV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（%）</w:t>
            </w:r>
          </w:p>
        </w:tc>
        <w:tc>
          <w:tcPr>
            <w:tcW w:w="2535" w:type="dxa"/>
            <w:noWrap w:val="0"/>
            <w:vAlign w:val="center"/>
          </w:tcPr>
          <w:p w14:paraId="123DE6FD">
            <w:pPr>
              <w:spacing w:after="0"/>
              <w:ind w:left="3" w:left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/</w:t>
            </w:r>
          </w:p>
        </w:tc>
      </w:tr>
      <w:tr w14:paraId="19A4B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931" w:type="dxa"/>
            <w:vMerge w:val="continue"/>
            <w:noWrap w:val="0"/>
            <w:vAlign w:val="center"/>
          </w:tcPr>
          <w:p w14:paraId="438457C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345" w:type="dxa"/>
            <w:gridSpan w:val="2"/>
            <w:vMerge w:val="continue"/>
            <w:noWrap w:val="0"/>
            <w:vAlign w:val="center"/>
          </w:tcPr>
          <w:p w14:paraId="0D53B6EA">
            <w:pPr>
              <w:jc w:val="both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5" w:type="dxa"/>
            <w:noWrap w:val="0"/>
            <w:vAlign w:val="center"/>
          </w:tcPr>
          <w:p w14:paraId="1CC596D6">
            <w:pPr>
              <w:spacing w:after="9"/>
              <w:ind w:left="163"/>
              <w:jc w:val="both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T(UVB)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subscript"/>
              </w:rPr>
              <w:t>AV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（%）</w:t>
            </w:r>
          </w:p>
        </w:tc>
        <w:tc>
          <w:tcPr>
            <w:tcW w:w="2535" w:type="dxa"/>
            <w:noWrap w:val="0"/>
            <w:vAlign w:val="center"/>
          </w:tcPr>
          <w:p w14:paraId="6C9E9516">
            <w:pPr>
              <w:spacing w:after="0"/>
              <w:ind w:left="3" w:left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/</w:t>
            </w:r>
          </w:p>
        </w:tc>
      </w:tr>
      <w:tr w14:paraId="18A89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931" w:type="dxa"/>
            <w:noWrap w:val="0"/>
            <w:vAlign w:val="center"/>
          </w:tcPr>
          <w:p w14:paraId="07685B6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345" w:type="dxa"/>
            <w:gridSpan w:val="2"/>
            <w:noWrap w:val="0"/>
            <w:vAlign w:val="center"/>
          </w:tcPr>
          <w:p w14:paraId="7AAC196D">
            <w:pPr>
              <w:spacing w:after="0"/>
              <w:jc w:val="both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耐氯化水色牢度（变色）（级）</w:t>
            </w:r>
          </w:p>
        </w:tc>
        <w:tc>
          <w:tcPr>
            <w:tcW w:w="1845" w:type="dxa"/>
            <w:noWrap w:val="0"/>
            <w:vAlign w:val="center"/>
          </w:tcPr>
          <w:p w14:paraId="4603FE3F">
            <w:pPr>
              <w:spacing w:after="0"/>
              <w:ind w:left="3" w:leftChars="0"/>
              <w:jc w:val="both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/</w:t>
            </w:r>
          </w:p>
        </w:tc>
        <w:tc>
          <w:tcPr>
            <w:tcW w:w="2535" w:type="dxa"/>
            <w:noWrap w:val="0"/>
            <w:vAlign w:val="center"/>
          </w:tcPr>
          <w:p w14:paraId="35AC471A"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B612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931" w:type="dxa"/>
            <w:noWrap w:val="0"/>
            <w:vAlign w:val="center"/>
          </w:tcPr>
          <w:p w14:paraId="638AD3E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3345" w:type="dxa"/>
            <w:gridSpan w:val="2"/>
            <w:noWrap w:val="0"/>
            <w:vAlign w:val="center"/>
          </w:tcPr>
          <w:p w14:paraId="79EB7700">
            <w:pPr>
              <w:spacing w:after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可分解致癌芳香胺染料</w:t>
            </w:r>
          </w:p>
          <w:p w14:paraId="43FB061E">
            <w:pPr>
              <w:spacing w:after="0"/>
              <w:ind w:left="2" w:leftChars="0"/>
              <w:jc w:val="both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/(mg/kg)</w:t>
            </w:r>
          </w:p>
        </w:tc>
        <w:tc>
          <w:tcPr>
            <w:tcW w:w="1845" w:type="dxa"/>
            <w:noWrap w:val="0"/>
            <w:vAlign w:val="center"/>
          </w:tcPr>
          <w:p w14:paraId="35B9FF5B">
            <w:pPr>
              <w:spacing w:after="0"/>
              <w:ind w:left="3" w:leftChars="0"/>
              <w:jc w:val="both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/</w:t>
            </w:r>
          </w:p>
        </w:tc>
        <w:tc>
          <w:tcPr>
            <w:tcW w:w="2535" w:type="dxa"/>
            <w:noWrap w:val="0"/>
            <w:vAlign w:val="center"/>
          </w:tcPr>
          <w:p w14:paraId="36E4B291"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7F81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8656" w:type="dxa"/>
            <w:gridSpan w:val="5"/>
            <w:noWrap w:val="0"/>
            <w:vAlign w:val="center"/>
          </w:tcPr>
          <w:p w14:paraId="4E2C5F66">
            <w:pPr>
              <w:jc w:val="both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材料2：方轨</w:t>
            </w:r>
          </w:p>
        </w:tc>
      </w:tr>
      <w:tr w14:paraId="59CC8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</w:trPr>
        <w:tc>
          <w:tcPr>
            <w:tcW w:w="931" w:type="dxa"/>
            <w:vMerge w:val="restart"/>
            <w:noWrap w:val="0"/>
            <w:vAlign w:val="center"/>
          </w:tcPr>
          <w:p w14:paraId="2B43E35E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345" w:type="dxa"/>
            <w:gridSpan w:val="2"/>
            <w:vMerge w:val="restart"/>
            <w:noWrap w:val="0"/>
            <w:vAlign w:val="center"/>
          </w:tcPr>
          <w:p w14:paraId="496A25EA">
            <w:pPr>
              <w:spacing w:after="0"/>
              <w:ind w:left="2" w:leftChars="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力学性能</w:t>
            </w:r>
          </w:p>
        </w:tc>
        <w:tc>
          <w:tcPr>
            <w:tcW w:w="1845" w:type="dxa"/>
            <w:noWrap w:val="0"/>
            <w:vAlign w:val="center"/>
          </w:tcPr>
          <w:p w14:paraId="70DF2E0D">
            <w:pPr>
              <w:spacing w:after="0"/>
              <w:ind w:left="3" w:leftChars="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抗拉强度（</w:t>
            </w: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MPa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535" w:type="dxa"/>
            <w:noWrap w:val="0"/>
            <w:vAlign w:val="center"/>
          </w:tcPr>
          <w:p w14:paraId="114540CC">
            <w:pPr>
              <w:jc w:val="center"/>
              <w:rPr>
                <w:rFonts w:hint="default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≥200</w:t>
            </w:r>
          </w:p>
        </w:tc>
      </w:tr>
      <w:tr w14:paraId="12AA3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</w:trPr>
        <w:tc>
          <w:tcPr>
            <w:tcW w:w="931" w:type="dxa"/>
            <w:vMerge w:val="continue"/>
            <w:noWrap w:val="0"/>
            <w:vAlign w:val="center"/>
          </w:tcPr>
          <w:p w14:paraId="08D734A0">
            <w:pPr>
              <w:spacing w:after="0"/>
              <w:ind w:left="3" w:leftChars="0"/>
              <w:jc w:val="both"/>
            </w:pPr>
          </w:p>
        </w:tc>
        <w:tc>
          <w:tcPr>
            <w:tcW w:w="3345" w:type="dxa"/>
            <w:gridSpan w:val="2"/>
            <w:vMerge w:val="continue"/>
            <w:noWrap w:val="0"/>
            <w:vAlign w:val="center"/>
          </w:tcPr>
          <w:p w14:paraId="086F5AD0">
            <w:pPr>
              <w:spacing w:after="0"/>
              <w:ind w:left="3" w:leftChars="0"/>
              <w:jc w:val="both"/>
            </w:pPr>
          </w:p>
        </w:tc>
        <w:tc>
          <w:tcPr>
            <w:tcW w:w="1845" w:type="dxa"/>
            <w:noWrap w:val="0"/>
            <w:vAlign w:val="center"/>
          </w:tcPr>
          <w:p w14:paraId="73B214D2">
            <w:pPr>
              <w:spacing w:after="0"/>
              <w:ind w:left="3" w:leftChars="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断后伸长率（</w:t>
            </w: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%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535" w:type="dxa"/>
            <w:noWrap w:val="0"/>
            <w:vAlign w:val="center"/>
          </w:tcPr>
          <w:p w14:paraId="3D92EC00">
            <w:pPr>
              <w:spacing w:after="0"/>
              <w:ind w:left="3" w:left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≥8</w:t>
            </w:r>
          </w:p>
        </w:tc>
      </w:tr>
      <w:tr w14:paraId="3DEA4D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931" w:type="dxa"/>
            <w:noWrap w:val="0"/>
            <w:vAlign w:val="center"/>
          </w:tcPr>
          <w:p w14:paraId="61BA1BCC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5190" w:type="dxa"/>
            <w:gridSpan w:val="3"/>
            <w:noWrap w:val="0"/>
            <w:vAlign w:val="center"/>
          </w:tcPr>
          <w:p w14:paraId="69EB5EFD">
            <w:pPr>
              <w:spacing w:after="0"/>
              <w:ind w:left="3" w:leftChars="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维氏硬度（HV1）</w:t>
            </w:r>
          </w:p>
        </w:tc>
        <w:tc>
          <w:tcPr>
            <w:tcW w:w="2535" w:type="dxa"/>
            <w:noWrap w:val="0"/>
            <w:vAlign w:val="center"/>
          </w:tcPr>
          <w:p w14:paraId="2DA19A12">
            <w:pPr>
              <w:jc w:val="center"/>
              <w:rPr>
                <w:rFonts w:hint="default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≥11</w:t>
            </w:r>
          </w:p>
        </w:tc>
      </w:tr>
      <w:tr w14:paraId="52C6B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931" w:type="dxa"/>
            <w:noWrap w:val="0"/>
            <w:vAlign w:val="center"/>
          </w:tcPr>
          <w:p w14:paraId="73452123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5190" w:type="dxa"/>
            <w:gridSpan w:val="3"/>
            <w:noWrap w:val="0"/>
            <w:vAlign w:val="center"/>
          </w:tcPr>
          <w:p w14:paraId="0DAE1520">
            <w:pPr>
              <w:spacing w:after="0"/>
              <w:ind w:left="3" w:leftChars="0"/>
              <w:jc w:val="both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表面</w:t>
            </w:r>
          </w:p>
        </w:tc>
        <w:tc>
          <w:tcPr>
            <w:tcW w:w="2535" w:type="dxa"/>
            <w:noWrap w:val="0"/>
            <w:vAlign w:val="center"/>
          </w:tcPr>
          <w:p w14:paraId="3A089FE9">
            <w:pPr>
              <w:jc w:val="both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表面采用电泳处理，表面无污渍、划花或脱漆、气泡</w:t>
            </w:r>
          </w:p>
        </w:tc>
      </w:tr>
      <w:tr w14:paraId="3DFA0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931" w:type="dxa"/>
            <w:vMerge w:val="restart"/>
            <w:noWrap w:val="0"/>
            <w:vAlign w:val="center"/>
          </w:tcPr>
          <w:p w14:paraId="139ECA46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595" w:type="dxa"/>
            <w:vMerge w:val="restart"/>
            <w:noWrap w:val="0"/>
            <w:vAlign w:val="center"/>
          </w:tcPr>
          <w:p w14:paraId="1C991ED0">
            <w:pPr>
              <w:spacing w:after="0"/>
              <w:ind w:left="3" w:leftChars="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规格尺寸</w:t>
            </w:r>
          </w:p>
        </w:tc>
        <w:tc>
          <w:tcPr>
            <w:tcW w:w="2595" w:type="dxa"/>
            <w:gridSpan w:val="2"/>
            <w:noWrap w:val="0"/>
            <w:vAlign w:val="center"/>
          </w:tcPr>
          <w:p w14:paraId="48EBC14B">
            <w:pPr>
              <w:spacing w:after="0"/>
              <w:ind w:left="3" w:leftChars="0"/>
              <w:jc w:val="both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轨道截面尺寸（mm）</w:t>
            </w:r>
          </w:p>
        </w:tc>
        <w:tc>
          <w:tcPr>
            <w:tcW w:w="2535" w:type="dxa"/>
            <w:noWrap w:val="0"/>
            <w:vAlign w:val="center"/>
          </w:tcPr>
          <w:p w14:paraId="422B6B97">
            <w:pPr>
              <w:jc w:val="both"/>
              <w:rPr>
                <w:rFonts w:hint="default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宽22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±1%,高19±1%</w:t>
            </w:r>
          </w:p>
        </w:tc>
      </w:tr>
      <w:tr w14:paraId="0826C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931" w:type="dxa"/>
            <w:vMerge w:val="continue"/>
            <w:noWrap w:val="0"/>
            <w:vAlign w:val="center"/>
          </w:tcPr>
          <w:p w14:paraId="2119BFB4">
            <w:pPr>
              <w:spacing w:after="0"/>
              <w:ind w:left="3" w:leftChars="0"/>
              <w:jc w:val="both"/>
            </w:pPr>
          </w:p>
        </w:tc>
        <w:tc>
          <w:tcPr>
            <w:tcW w:w="2595" w:type="dxa"/>
            <w:vMerge w:val="continue"/>
            <w:noWrap w:val="0"/>
            <w:vAlign w:val="center"/>
          </w:tcPr>
          <w:p w14:paraId="605B14BF">
            <w:pPr>
              <w:spacing w:after="0"/>
              <w:ind w:left="3" w:leftChars="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595" w:type="dxa"/>
            <w:gridSpan w:val="2"/>
            <w:noWrap w:val="0"/>
            <w:vAlign w:val="center"/>
          </w:tcPr>
          <w:p w14:paraId="19A1045D">
            <w:pPr>
              <w:spacing w:after="0"/>
              <w:ind w:left="3" w:leftChars="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轨道壁厚（mm）</w:t>
            </w:r>
          </w:p>
        </w:tc>
        <w:tc>
          <w:tcPr>
            <w:tcW w:w="2535" w:type="dxa"/>
            <w:noWrap w:val="0"/>
            <w:vAlign w:val="center"/>
          </w:tcPr>
          <w:p w14:paraId="7FAD8362">
            <w:pPr>
              <w:spacing w:after="0"/>
              <w:ind w:left="3" w:leftChars="0"/>
              <w:jc w:val="both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1.5±0.1</w:t>
            </w:r>
          </w:p>
        </w:tc>
      </w:tr>
      <w:tr w14:paraId="12F75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931" w:type="dxa"/>
            <w:vMerge w:val="continue"/>
            <w:noWrap w:val="0"/>
            <w:vAlign w:val="center"/>
          </w:tcPr>
          <w:p w14:paraId="4AC9263C">
            <w:pPr>
              <w:spacing w:after="0"/>
              <w:ind w:left="3" w:leftChars="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595" w:type="dxa"/>
            <w:vMerge w:val="continue"/>
            <w:noWrap w:val="0"/>
            <w:vAlign w:val="center"/>
          </w:tcPr>
          <w:p w14:paraId="4B9C6C0A">
            <w:pPr>
              <w:spacing w:after="0"/>
              <w:ind w:left="3" w:leftChars="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595" w:type="dxa"/>
            <w:gridSpan w:val="2"/>
            <w:noWrap w:val="0"/>
            <w:vAlign w:val="center"/>
          </w:tcPr>
          <w:p w14:paraId="641C2CE3">
            <w:pPr>
              <w:spacing w:after="0"/>
              <w:ind w:left="3" w:leftChars="0"/>
              <w:jc w:val="both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封口厚度材质（mm）</w:t>
            </w:r>
          </w:p>
        </w:tc>
        <w:tc>
          <w:tcPr>
            <w:tcW w:w="2535" w:type="dxa"/>
            <w:noWrap w:val="0"/>
            <w:vAlign w:val="center"/>
          </w:tcPr>
          <w:p w14:paraId="526BA8EC">
            <w:pPr>
              <w:spacing w:after="0"/>
              <w:ind w:left="3" w:leftChars="0"/>
              <w:jc w:val="both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≥1.0</w:t>
            </w:r>
          </w:p>
        </w:tc>
      </w:tr>
      <w:tr w14:paraId="31B931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931" w:type="dxa"/>
            <w:noWrap w:val="0"/>
            <w:vAlign w:val="center"/>
          </w:tcPr>
          <w:p w14:paraId="5B9079C8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5190" w:type="dxa"/>
            <w:gridSpan w:val="3"/>
            <w:noWrap w:val="0"/>
            <w:vAlign w:val="center"/>
          </w:tcPr>
          <w:p w14:paraId="7459343C">
            <w:pPr>
              <w:spacing w:after="0"/>
              <w:ind w:left="3" w:leftChars="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功能性能</w:t>
            </w:r>
          </w:p>
        </w:tc>
        <w:tc>
          <w:tcPr>
            <w:tcW w:w="2535" w:type="dxa"/>
            <w:noWrap w:val="0"/>
            <w:vAlign w:val="center"/>
          </w:tcPr>
          <w:p w14:paraId="7E4D8349">
            <w:pPr>
              <w:jc w:val="both"/>
              <w:rPr>
                <w:rFonts w:hint="default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  <w:t>吊轮滑动顺畅自然，在导轨倾斜角15°时，吊轮能顺畅滑落。</w:t>
            </w:r>
          </w:p>
        </w:tc>
      </w:tr>
      <w:tr w14:paraId="01FC2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8656" w:type="dxa"/>
            <w:gridSpan w:val="5"/>
            <w:noWrap w:val="0"/>
            <w:vAlign w:val="center"/>
          </w:tcPr>
          <w:p w14:paraId="29FB935B">
            <w:pPr>
              <w:jc w:val="both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材料3：遮光卷帘</w:t>
            </w:r>
          </w:p>
        </w:tc>
      </w:tr>
      <w:tr w14:paraId="3EE754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931" w:type="dxa"/>
            <w:noWrap w:val="0"/>
            <w:vAlign w:val="center"/>
          </w:tcPr>
          <w:p w14:paraId="01A3E43D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595" w:type="dxa"/>
            <w:noWrap w:val="0"/>
            <w:vAlign w:val="center"/>
          </w:tcPr>
          <w:p w14:paraId="0AFA7FBC">
            <w:pPr>
              <w:jc w:val="both"/>
              <w:rPr>
                <w:rFonts w:hint="eastAsia" w:ascii="仿宋" w:hAnsi="仿宋" w:eastAsia="仿宋" w:cs="仿宋"/>
                <w:spacing w:val="-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面料成分</w:t>
            </w:r>
          </w:p>
        </w:tc>
        <w:tc>
          <w:tcPr>
            <w:tcW w:w="5130" w:type="dxa"/>
            <w:gridSpan w:val="3"/>
            <w:noWrap w:val="0"/>
            <w:vAlign w:val="center"/>
          </w:tcPr>
          <w:p w14:paraId="52A40F86"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聚酯纤维</w:t>
            </w:r>
          </w:p>
        </w:tc>
      </w:tr>
      <w:tr w14:paraId="308DE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931" w:type="dxa"/>
            <w:noWrap w:val="0"/>
            <w:vAlign w:val="center"/>
          </w:tcPr>
          <w:p w14:paraId="058D9A39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595" w:type="dxa"/>
            <w:noWrap w:val="0"/>
            <w:vAlign w:val="center"/>
          </w:tcPr>
          <w:p w14:paraId="227DB8A3"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耐水色牢度</w:t>
            </w:r>
          </w:p>
        </w:tc>
        <w:tc>
          <w:tcPr>
            <w:tcW w:w="5130" w:type="dxa"/>
            <w:gridSpan w:val="3"/>
            <w:noWrap w:val="0"/>
            <w:vAlign w:val="center"/>
          </w:tcPr>
          <w:p w14:paraId="5B7BA6B3">
            <w:pPr>
              <w:jc w:val="both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&gt;5</w:t>
            </w:r>
          </w:p>
        </w:tc>
      </w:tr>
      <w:tr w14:paraId="3A0E1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931" w:type="dxa"/>
            <w:noWrap w:val="0"/>
            <w:vAlign w:val="center"/>
          </w:tcPr>
          <w:p w14:paraId="4F26D33E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595" w:type="dxa"/>
            <w:noWrap w:val="0"/>
            <w:vAlign w:val="center"/>
          </w:tcPr>
          <w:p w14:paraId="548BF3D4"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紫外线穿透吕</w:t>
            </w:r>
          </w:p>
        </w:tc>
        <w:tc>
          <w:tcPr>
            <w:tcW w:w="5130" w:type="dxa"/>
            <w:gridSpan w:val="3"/>
            <w:noWrap w:val="0"/>
            <w:vAlign w:val="center"/>
          </w:tcPr>
          <w:p w14:paraId="28545EBE">
            <w:pPr>
              <w:jc w:val="both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0%</w:t>
            </w:r>
          </w:p>
        </w:tc>
      </w:tr>
      <w:tr w14:paraId="4467B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931" w:type="dxa"/>
            <w:noWrap w:val="0"/>
            <w:vAlign w:val="center"/>
          </w:tcPr>
          <w:p w14:paraId="408C6F3E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595" w:type="dxa"/>
            <w:noWrap w:val="0"/>
            <w:vAlign w:val="center"/>
          </w:tcPr>
          <w:p w14:paraId="75D321B2"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厚度</w:t>
            </w:r>
          </w:p>
        </w:tc>
        <w:tc>
          <w:tcPr>
            <w:tcW w:w="5130" w:type="dxa"/>
            <w:gridSpan w:val="3"/>
            <w:noWrap w:val="0"/>
            <w:vAlign w:val="center"/>
          </w:tcPr>
          <w:p w14:paraId="4290CED8">
            <w:pPr>
              <w:jc w:val="both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1mm</w:t>
            </w:r>
          </w:p>
        </w:tc>
      </w:tr>
      <w:tr w14:paraId="06764F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931" w:type="dxa"/>
            <w:noWrap w:val="0"/>
            <w:vAlign w:val="center"/>
          </w:tcPr>
          <w:p w14:paraId="63AC6574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595" w:type="dxa"/>
            <w:noWrap w:val="0"/>
            <w:vAlign w:val="center"/>
          </w:tcPr>
          <w:p w14:paraId="7E72CA89"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卷帘拉珠</w:t>
            </w:r>
          </w:p>
        </w:tc>
        <w:tc>
          <w:tcPr>
            <w:tcW w:w="5130" w:type="dxa"/>
            <w:gridSpan w:val="3"/>
            <w:noWrap w:val="0"/>
            <w:vAlign w:val="center"/>
          </w:tcPr>
          <w:p w14:paraId="66AAC9CA"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拉姆丝</w:t>
            </w:r>
          </w:p>
        </w:tc>
      </w:tr>
    </w:tbl>
    <w:p w14:paraId="2E152A4E">
      <w:pPr>
        <w:ind w:left="105" w:leftChars="50" w:firstLine="300" w:firstLineChars="150"/>
        <w:rPr>
          <w:rFonts w:hint="eastAsia" w:ascii="仿宋_GB2312" w:eastAsia="仿宋_GB2312"/>
          <w:spacing w:val="-20"/>
          <w:sz w:val="24"/>
          <w:szCs w:val="24"/>
          <w:lang w:val="en-US" w:eastAsia="zh-CN"/>
        </w:rPr>
      </w:pPr>
    </w:p>
    <w:p w14:paraId="242455E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34641197"/>
    <w:rsid w:val="055B1E9A"/>
    <w:rsid w:val="0AA559B3"/>
    <w:rsid w:val="0F106107"/>
    <w:rsid w:val="206A53C4"/>
    <w:rsid w:val="20A16E77"/>
    <w:rsid w:val="267F2A4D"/>
    <w:rsid w:val="2C964CDE"/>
    <w:rsid w:val="333B02A8"/>
    <w:rsid w:val="34641197"/>
    <w:rsid w:val="35EB31D2"/>
    <w:rsid w:val="39F711D9"/>
    <w:rsid w:val="3DE47103"/>
    <w:rsid w:val="3FAD3D8D"/>
    <w:rsid w:val="423034B0"/>
    <w:rsid w:val="4C521EE8"/>
    <w:rsid w:val="55365191"/>
    <w:rsid w:val="57945BBD"/>
    <w:rsid w:val="582E17EB"/>
    <w:rsid w:val="5D6B3FA1"/>
    <w:rsid w:val="5D982970"/>
    <w:rsid w:val="632770F3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2025-11-14T00:25:00Z</dcterms:created>
  <dc:creator>圣诞老人</dc:creator>
  <cp:lastModifiedBy>圣诞老人</cp:lastModifiedBy>
  <dcterms:modified xsi:type="dcterms:W3CDTF">2025-11-14T00:25:42Z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2DB339F4C56B4A508145B20806D20868_11</vt:lpwstr>
  </property>
</Properties>
</file>